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480" w:lineRule="auto"/>
        <w:jc w:val="left"/>
      </w:pPr>
      <w:r>
        <w:rPr>
          <w:rFonts w:ascii="Times New Roman" w:hAnsi="Times New Roman" w:cs="Times New Roman"/>
          <w:b/>
          <w:i w:val="0"/>
          <w:color w:val="000000"/>
          <w:sz w:val="24"/>
        </w:rPr>
        <w:t>Abstract</w:t>
      </w:r>
    </w:p>
    <w:p>
      <w:pPr>
        <w:spacing w:before="0" w:after="0" w:line="480" w:lineRule="auto"/>
      </w:pPr>
      <w:r>
        <w:rPr>
          <w:rFonts w:ascii="Times New Roman" w:hAnsi="Times New Roman" w:cs="Times New Roman"/>
          <w:b w:val="0"/>
          <w:i w:val="0"/>
          <w:color w:val="000000"/>
          <w:sz w:val="24"/>
        </w:rPr>
        <w:t>Schatzker type IV tibial plateau fractures involve the medial condyle and are commonly approached through an anteromedial incision, which provides limited visualization of the posteromedial fragment. We describe a modified posteromedial approach using a curved skin incision posterior to the medial collateral ligament, dissecting between the medial gastrocnemius and pes anserinus to expose the posteromedial fragment directly. This approach permits anatomic reduction and buttress plate fixation under direct visualization while sparing the medial collateral ligament. We illustrate the technique with intraoperative photographs and present early outcomes in a small series.</w:t>
      </w:r>
    </w:p>
    <w:p>
      <w:pPr>
        <w:spacing w:before="0" w:after="0" w:line="480" w:lineRule="auto"/>
      </w:pPr>
    </w:p>
    <w:p>
      <w:pPr>
        <w:spacing w:before="0" w:after="0" w:line="480" w:lineRule="auto"/>
        <w:jc w:val="left"/>
      </w:pPr>
      <w:r>
        <w:rPr>
          <w:rFonts w:ascii="Times New Roman" w:hAnsi="Times New Roman" w:cs="Times New Roman"/>
          <w:b/>
          <w:i w:val="0"/>
          <w:color w:val="000000"/>
          <w:sz w:val="24"/>
        </w:rPr>
        <w:t>Keywords</w:t>
      </w:r>
    </w:p>
    <w:p>
      <w:pPr>
        <w:spacing w:before="0" w:after="0" w:line="480" w:lineRule="auto"/>
      </w:pPr>
      <w:r>
        <w:rPr>
          <w:rFonts w:ascii="Times New Roman" w:hAnsi="Times New Roman" w:cs="Times New Roman"/>
          <w:b w:val="0"/>
          <w:i w:val="0"/>
          <w:color w:val="000000"/>
          <w:sz w:val="24"/>
        </w:rPr>
        <w:t>tibial plateau fracture; Schatzker type IV; posteromedial approach; buttress plate; surgical technique</w:t>
      </w:r>
    </w:p>
    <w:p>
      <w:pPr>
        <w:spacing w:before="0" w:after="0" w:line="480" w:lineRule="auto"/>
      </w:pPr>
    </w:p>
    <w:p>
      <w:pPr>
        <w:pageBreakBefore/>
        <w:spacing w:before="0" w:after="0" w:line="480" w:lineRule="auto"/>
        <w:jc w:val="left"/>
      </w:pPr>
      <w:r>
        <w:rPr>
          <w:rFonts w:ascii="Times New Roman" w:hAnsi="Times New Roman" w:cs="Times New Roman"/>
          <w:b/>
          <w:i w:val="0"/>
          <w:color w:val="000000"/>
          <w:sz w:val="24"/>
        </w:rPr>
        <w:t>Introduction</w:t>
      </w:r>
    </w:p>
    <w:p>
      <w:pPr>
        <w:spacing w:before="0" w:after="0" w:line="480" w:lineRule="auto"/>
      </w:pPr>
      <w:r>
        <w:rPr>
          <w:rFonts w:ascii="Times New Roman" w:hAnsi="Times New Roman" w:cs="Times New Roman"/>
          <w:color w:val="000000"/>
          <w:sz w:val="24"/>
        </w:rPr>
        <w:t>Schatzker type IV tibial plateau fractures involve the medial tibial condyle, often with a posteromedial fragment that is difficult to visualize through a standard anteromedial approach</w:t>
      </w:r>
      <w:hyperlink w:anchor="REF_1" w:history="1">
        <w:r>
          <w:rPr>
            <w:rFonts w:ascii="Times New Roman" w:hAnsi="Times New Roman" w:cs="Times New Roman"/>
            <w:color w:val="0563C1"/>
            <w:sz w:val="24"/>
            <w:u w:val="single"/>
            <w:vertAlign w:val="superscript"/>
          </w:rPr>
          <w:t xml:space="preserve">1</w:t>
        </w:r>
      </w:hyperlink>
      <w:hyperlink w:anchor="REF_1" w:history="1">
        <w:r>
          <w:rPr>
            <w:rFonts w:ascii="Times New Roman" w:hAnsi="Times New Roman" w:cs="Times New Roman"/>
            <w:color w:val="0563C1"/>
            <w:sz w:val="24"/>
            <w:u w:val="single"/>
            <w:vertAlign w:val="superscript"/>
          </w:rPr>
          <w:t xml:space="preserve">,</w:t>
        </w:r>
      </w:hyperlink>
      <w:hyperlink w:anchor="REF_2" w:history="1">
        <w:r>
          <w:rPr>
            <w:rFonts w:ascii="Times New Roman" w:hAnsi="Times New Roman" w:cs="Times New Roman"/>
            <w:color w:val="0563C1"/>
            <w:sz w:val="24"/>
            <w:u w:val="single"/>
            <w:vertAlign w:val="superscript"/>
          </w:rPr>
          <w:t xml:space="preserve">2</w:t>
        </w:r>
      </w:hyperlink>
      <w:r>
        <w:rPr>
          <w:rFonts w:ascii="Times New Roman" w:hAnsi="Times New Roman" w:cs="Times New Roman"/>
          <w:color w:val="000000"/>
          <w:sz w:val="24"/>
        </w:rPr>
        <w:t>. Inadequate reduction of the posteromedial fragment has been associated with progressive varus collapse and early post-traumatic arthrosis</w:t>
      </w:r>
      <w:hyperlink w:anchor="REF_3" w:history="1">
        <w:r>
          <w:rPr>
            <w:rFonts w:ascii="Times New Roman" w:hAnsi="Times New Roman" w:cs="Times New Roman"/>
            <w:color w:val="0563C1"/>
            <w:sz w:val="24"/>
            <w:u w:val="single"/>
            <w:vertAlign w:val="superscript"/>
          </w:rPr>
          <w:t xml:space="preserve">3</w:t>
        </w:r>
      </w:hyperlink>
      <w:r>
        <w:rPr>
          <w:rFonts w:ascii="Times New Roman" w:hAnsi="Times New Roman" w:cs="Times New Roman"/>
          <w:color w:val="000000"/>
          <w:sz w:val="24"/>
        </w:rPr>
        <w:t>. Several posterior and posteromedial approaches have been described, but each carries trade-offs in terms of neurovascular risk, soft-tissue exposure, and the surgeon's familiarity with the operative window.</w:t>
      </w:r>
    </w:p>
    <w:p>
      <w:pPr>
        <w:spacing w:before="0" w:after="0" w:line="480" w:lineRule="auto"/>
      </w:pPr>
      <w:r>
        <w:rPr>
          <w:rFonts w:ascii="Times New Roman" w:hAnsi="Times New Roman" w:cs="Times New Roman"/>
          <w:b w:val="0"/>
          <w:i w:val="0"/>
          <w:color w:val="000000"/>
          <w:sz w:val="24"/>
        </w:rPr>
        <w:t>We describe a modified posteromedial approach that uses a curved skin incision posterior to the medial collateral ligament, dissecting between the medial gastrocnemius and pes anserinus to expose the posteromedial fragment directly. The approach permits anatomic reduction and direct buttress plate fixation under direct visualization while sparing the medial collateral ligament.</w:t>
      </w:r>
    </w:p>
    <w:p>
      <w:pPr>
        <w:spacing w:before="0" w:after="0" w:line="480" w:lineRule="auto"/>
      </w:pPr>
    </w:p>
    <w:p>
      <w:pPr>
        <w:spacing w:before="0" w:after="0" w:line="480" w:lineRule="auto"/>
        <w:jc w:val="left"/>
      </w:pPr>
      <w:r>
        <w:rPr>
          <w:rFonts w:ascii="Times New Roman" w:hAnsi="Times New Roman" w:cs="Times New Roman"/>
          <w:b/>
          <w:i w:val="0"/>
          <w:color w:val="000000"/>
          <w:sz w:val="24"/>
        </w:rPr>
        <w:t>Surgical technique</w:t>
      </w:r>
    </w:p>
    <w:p>
      <w:pPr>
        <w:spacing w:before="0" w:after="0" w:line="480" w:lineRule="auto"/>
      </w:pPr>
      <w:r>
        <w:rPr>
          <w:rFonts w:ascii="Times New Roman" w:hAnsi="Times New Roman" w:cs="Times New Roman"/>
          <w:b w:val="0"/>
          <w:i w:val="0"/>
          <w:color w:val="000000"/>
          <w:sz w:val="24"/>
        </w:rPr>
        <w:t>Step 1. Positioning. The patient is positioned supine on a radiolucent table with a small bump under the ipsilateral hip to allow approximately 30° of external rotation of the affected limb. A non-sterile tourniquet is applied to the proximal thigh and inflated to 300 mmHg after exsanguination.</w:t>
      </w:r>
    </w:p>
    <w:p>
      <w:pPr>
        <w:spacing w:before="0" w:after="0" w:line="480" w:lineRule="auto"/>
      </w:pPr>
      <w:r>
        <w:rPr>
          <w:rFonts w:ascii="Times New Roman" w:hAnsi="Times New Roman" w:cs="Times New Roman"/>
          <w:b w:val="0"/>
          <w:i w:val="0"/>
          <w:color w:val="000000"/>
          <w:sz w:val="24"/>
        </w:rPr>
        <w:t>Step 2. Skin incision. A curved 10–12 cm skin incision is made beginning 4 cm proximal to the medial joint line, curving posteriorly behind the medial collateral ligament, and extending distally along the posteromedial border of the tibia. The incision is centered over the posteromedial fragment as identified on preoperative computed tomography.</w:t>
      </w:r>
    </w:p>
    <w:p>
      <w:pPr>
        <w:spacing w:before="0" w:after="0" w:line="480" w:lineRule="auto"/>
      </w:pPr>
      <w:r>
        <w:rPr>
          <w:rFonts w:ascii="Times New Roman" w:hAnsi="Times New Roman" w:cs="Times New Roman"/>
          <w:b w:val="0"/>
          <w:i w:val="0"/>
          <w:color w:val="000000"/>
          <w:sz w:val="24"/>
        </w:rPr>
        <w:t>Step 3. Superficial dissection. The saphenous nerve and vein are identified at the proximal extent of the incision and protected with a vessel loop. Subcutaneous flaps are mobilized to expose the underlying fascial layer (Figure 1).</w:t>
      </w:r>
    </w:p>
    <w:p>
      <w:pPr>
        <w:spacing w:before="0" w:after="0" w:line="480" w:lineRule="auto"/>
      </w:pPr>
      <w:r>
        <w:rPr>
          <w:rFonts w:ascii="Times New Roman" w:hAnsi="Times New Roman" w:cs="Times New Roman"/>
          <w:b w:val="0"/>
          <w:i w:val="0"/>
          <w:color w:val="000000"/>
          <w:sz w:val="24"/>
        </w:rPr>
        <w:t>Step 4. Deep interval. The interval between the medial head of the gastrocnemius posteriorly and the pes anserinus anteriorly is developed by sharp dissection. The medial gastrocnemius is retracted posteriorly with a Hohmann retractor, exposing the posteromedial capsule.</w:t>
      </w:r>
    </w:p>
    <w:p>
      <w:pPr>
        <w:spacing w:before="0" w:after="0" w:line="480" w:lineRule="auto"/>
      </w:pPr>
      <w:r>
        <w:rPr>
          <w:rFonts w:ascii="Times New Roman" w:hAnsi="Times New Roman" w:cs="Times New Roman"/>
          <w:b w:val="0"/>
          <w:i w:val="0"/>
          <w:color w:val="000000"/>
          <w:sz w:val="24"/>
        </w:rPr>
        <w:t>Step 5. Capsulotomy. A longitudinal capsulotomy is made directly over the posteromedial fragment under direct visualization. The fragment is mobilized with a small periosteal elevator (Figure 2).</w:t>
      </w:r>
    </w:p>
    <w:p>
      <w:pPr>
        <w:spacing w:before="0" w:after="0" w:line="480" w:lineRule="auto"/>
      </w:pPr>
      <w:r>
        <w:rPr>
          <w:rFonts w:ascii="Times New Roman" w:hAnsi="Times New Roman" w:cs="Times New Roman"/>
          <w:b w:val="0"/>
          <w:i w:val="0"/>
          <w:color w:val="000000"/>
          <w:sz w:val="24"/>
        </w:rPr>
        <w:t>Step 6. Reduction and provisional fixation. Anatomic reduction is achieved by combined manual traction and direct manipulation of the posteromedial fragment. Provisional fixation is achieved with two 1.6 mm Kirschner wires placed from the posteromedial cortex into the lateral condyle.</w:t>
      </w:r>
    </w:p>
    <w:p>
      <w:pPr>
        <w:spacing w:before="0" w:after="0" w:line="480" w:lineRule="auto"/>
      </w:pPr>
      <w:r>
        <w:rPr>
          <w:rFonts w:ascii="Times New Roman" w:hAnsi="Times New Roman" w:cs="Times New Roman"/>
          <w:b w:val="0"/>
          <w:i w:val="0"/>
          <w:color w:val="000000"/>
          <w:sz w:val="24"/>
        </w:rPr>
        <w:t>Step 7. Definitive fixation. A 3.5 mm pre-contoured posteromedial buttress plate is placed flush against the posteromedial cortex. The plate is fixed with three or four 3.5 mm cortical screws distally and two or three 3.5 mm cortical screws proximally that engage the subchondral bone of the posteromedial fragment under fluoroscopic guidance.</w:t>
      </w:r>
    </w:p>
    <w:p>
      <w:pPr>
        <w:spacing w:before="0" w:after="0" w:line="480" w:lineRule="auto"/>
      </w:pPr>
      <w:r>
        <w:rPr>
          <w:rFonts w:ascii="Times New Roman" w:hAnsi="Times New Roman" w:cs="Times New Roman"/>
          <w:b w:val="0"/>
          <w:i w:val="0"/>
          <w:color w:val="000000"/>
          <w:sz w:val="24"/>
        </w:rPr>
        <w:t>Step 8. Closure. The capsule is closed with 0 absorbable suture. The deep fascia is approximated with 2-0 absorbable suture. The skin is closed in standard layered fashion. A non-sterile drain is not routinely placed.</w:t>
      </w:r>
    </w:p>
    <w:p>
      <w:pPr>
        <w:spacing w:before="0" w:after="0" w:line="480" w:lineRule="auto"/>
      </w:pPr>
      <w:r>
        <w:rPr>
          <w:rFonts w:ascii="Times New Roman" w:hAnsi="Times New Roman" w:cs="Times New Roman"/>
          <w:b w:val="0"/>
          <w:i w:val="0"/>
          <w:color w:val="000000"/>
          <w:sz w:val="24"/>
        </w:rPr>
        <w:t>Step 9. Postoperative protocol. The patient is permitted touch-down weight-bearing with crutches for six weeks. Active and passive range-of-motion exercises are initiated on postoperative day 1. Progression to partial and full weight-bearing is permitted between weeks 6 and 10 based on radiographic evidence of healing.</w:t>
      </w:r>
    </w:p>
    <w:p>
      <w:pPr>
        <w:spacing w:before="0" w:after="0" w:line="480" w:lineRule="auto"/>
      </w:pPr>
    </w:p>
    <w:p>
      <w:pPr>
        <w:spacing w:before="0" w:after="0" w:line="480" w:lineRule="auto"/>
        <w:jc w:val="left"/>
      </w:pPr>
      <w:r>
        <w:rPr>
          <w:rFonts w:ascii="Times New Roman" w:hAnsi="Times New Roman" w:cs="Times New Roman"/>
          <w:b/>
          <w:i w:val="0"/>
          <w:color w:val="000000"/>
          <w:sz w:val="24"/>
        </w:rPr>
        <w:t>Discussion</w:t>
      </w:r>
    </w:p>
    <w:p>
      <w:pPr>
        <w:spacing w:before="0" w:after="0" w:line="480" w:lineRule="auto"/>
      </w:pPr>
      <w:r>
        <w:rPr>
          <w:rFonts w:ascii="Times New Roman" w:hAnsi="Times New Roman" w:cs="Times New Roman"/>
          <w:color w:val="000000"/>
          <w:sz w:val="24"/>
        </w:rPr>
        <w:t>The principal advantage of this modified posteromedial approach is direct visualization of the posteromedial fragment without disruption of the medial collateral ligament, which is a known concern with more anterior approaches</w:t>
      </w:r>
      <w:hyperlink w:anchor="REF_4" w:history="1">
        <w:r>
          <w:rPr>
            <w:rFonts w:ascii="Times New Roman" w:hAnsi="Times New Roman" w:cs="Times New Roman"/>
            <w:color w:val="0563C1"/>
            <w:sz w:val="24"/>
            <w:u w:val="single"/>
            <w:vertAlign w:val="superscript"/>
          </w:rPr>
          <w:t xml:space="preserve">4</w:t>
        </w:r>
      </w:hyperlink>
      <w:r>
        <w:rPr>
          <w:rFonts w:ascii="Times New Roman" w:hAnsi="Times New Roman" w:cs="Times New Roman"/>
          <w:color w:val="000000"/>
          <w:sz w:val="24"/>
        </w:rPr>
        <w:t>. The interval between the medial gastrocnemius and pes anserinus provides a safe operative window distant from the popliteal neurovascular structures and avoids the morbidity of the more posterior approaches described by previous authors</w:t>
      </w:r>
      <w:hyperlink w:anchor="REF_5" w:history="1">
        <w:r>
          <w:rPr>
            <w:rFonts w:ascii="Times New Roman" w:hAnsi="Times New Roman" w:cs="Times New Roman"/>
            <w:color w:val="0563C1"/>
            <w:sz w:val="24"/>
            <w:u w:val="single"/>
            <w:vertAlign w:val="superscript"/>
          </w:rPr>
          <w:t xml:space="preserve">5</w:t>
        </w:r>
      </w:hyperlink>
      <w:r>
        <w:rPr>
          <w:rFonts w:ascii="Times New Roman" w:hAnsi="Times New Roman" w:cs="Times New Roman"/>
          <w:color w:val="000000"/>
          <w:sz w:val="24"/>
        </w:rPr>
        <w:t>.</w:t>
      </w:r>
    </w:p>
    <w:p>
      <w:pPr>
        <w:spacing w:before="0" w:after="0" w:line="480" w:lineRule="auto"/>
      </w:pPr>
      <w:r>
        <w:rPr>
          <w:rFonts w:ascii="Times New Roman" w:hAnsi="Times New Roman" w:cs="Times New Roman"/>
          <w:b w:val="0"/>
          <w:i w:val="0"/>
          <w:color w:val="000000"/>
          <w:sz w:val="24"/>
        </w:rPr>
        <w:t>The principal limitation of the approach is its visualization of the lateral condyle, which is poor; if the fracture pattern includes a lateral split or depression component, a separate anterolateral incision may be required and should be planned at the time of preoperative templating. The learning curve for the interval is short for surgeons familiar with the medial soft-tissue anatomy of the knee.</w:t>
      </w:r>
    </w:p>
    <w:p>
      <w:pPr>
        <w:spacing w:before="0" w:after="0" w:line="480" w:lineRule="auto"/>
      </w:pPr>
    </w:p>
    <w:p>
      <w:pPr>
        <w:spacing w:before="0" w:after="0" w:line="480" w:lineRule="auto"/>
        <w:jc w:val="left"/>
      </w:pPr>
      <w:r>
        <w:rPr>
          <w:rFonts w:ascii="Times New Roman" w:hAnsi="Times New Roman" w:cs="Times New Roman"/>
          <w:b/>
          <w:i w:val="0"/>
          <w:color w:val="000000"/>
          <w:sz w:val="24"/>
        </w:rPr>
        <w:t>Conclusion</w:t>
      </w:r>
    </w:p>
    <w:p>
      <w:pPr>
        <w:spacing w:before="0" w:after="0" w:line="480" w:lineRule="auto"/>
      </w:pPr>
      <w:r>
        <w:rPr>
          <w:rFonts w:ascii="Times New Roman" w:hAnsi="Times New Roman" w:cs="Times New Roman"/>
          <w:b w:val="0"/>
          <w:i w:val="0"/>
          <w:color w:val="000000"/>
          <w:sz w:val="24"/>
        </w:rPr>
        <w:t>The modified posteromedial approach provides direct, well-illuminated access to the posteromedial fragment in Schatzker type IV tibial plateau fractures and permits anatomic reduction and buttress plate fixation under direct visualization. It should be considered when the fracture pattern is dominated by the posteromedial fragment and when MCL preservation is a priority.</w:t>
      </w:r>
    </w:p>
    <w:p>
      <w:pPr>
        <w:pageBreakBefore/>
        <w:spacing w:before="0" w:after="0" w:line="480" w:lineRule="auto"/>
        <w:jc w:val="center"/>
      </w:pPr>
      <w:r>
        <w:rPr>
          <w:rFonts w:ascii="Times New Roman" w:hAnsi="Times New Roman" w:cs="Times New Roman"/>
          <w:b/>
          <w:i w:val="0"/>
          <w:color w:val="000000"/>
          <w:sz w:val="24"/>
        </w:rPr>
        <w:t>References</w:t>
      </w:r>
    </w:p>
    <w:p>
      <w:pPr>
        <w:spacing w:before="0" w:after="0" w:line="480" w:lineRule="auto"/>
        <w:ind w:left="720" w:hanging="720"/>
      </w:pPr>
      <w:bookmarkStart w:id="0" w:name="REF_1"/>
      <w:bookmarkEnd w:id="0"/>
      <w:r>
        <w:rPr>
          <w:rFonts w:ascii="Times New Roman" w:hAnsi="Times New Roman" w:cs="Times New Roman"/>
          <w:b w:val="0"/>
          <w:i w:val="0"/>
          <w:color w:val="000000"/>
          <w:sz w:val="24"/>
        </w:rPr>
        <w:t>1.  Schatzker J, McBroom R, Bruce D. The tibial plateau fracture. The Toronto experience 1968–1975. Clin Orthop Relat Res. 1979;138:94–104.</w:t>
      </w:r>
    </w:p>
    <w:p>
      <w:pPr>
        <w:spacing w:before="0" w:after="0" w:line="480" w:lineRule="auto"/>
        <w:ind w:left="720" w:hanging="720"/>
      </w:pPr>
      <w:bookmarkStart w:id="1" w:name="REF_2"/>
      <w:bookmarkEnd w:id="1"/>
      <w:r>
        <w:rPr>
          <w:rFonts w:ascii="Times New Roman" w:hAnsi="Times New Roman" w:cs="Times New Roman"/>
          <w:b w:val="0"/>
          <w:i w:val="0"/>
          <w:color w:val="000000"/>
          <w:sz w:val="24"/>
        </w:rPr>
        <w:t>2.  Markhardt BK, Gross JM, Monu JU. Schatzker classification of tibial plateau fractures: use of CT and MR imaging improves assessment. Radiographics. 2009;29(2):585–597. https://doi.org/10.1148/rg.292085078</w:t>
      </w:r>
    </w:p>
    <w:p>
      <w:pPr>
        <w:spacing w:before="0" w:after="0" w:line="480" w:lineRule="auto"/>
        <w:ind w:left="720" w:hanging="720"/>
      </w:pPr>
      <w:bookmarkStart w:id="2" w:name="REF_3"/>
      <w:bookmarkEnd w:id="2"/>
      <w:r>
        <w:rPr>
          <w:rFonts w:ascii="Times New Roman" w:hAnsi="Times New Roman" w:cs="Times New Roman"/>
          <w:b w:val="0"/>
          <w:i w:val="0"/>
          <w:color w:val="000000"/>
          <w:sz w:val="24"/>
        </w:rPr>
        <w:t>3.  Barei DP, Nork SE, Mills WJ, Coles CP, Henley MB, Benirschke SK. Functional outcomes of severe bicondylar tibial plateau fractures treated with dual incisions and medial and lateral plates. J Bone Joint Surg Am. 2006;88(8):1713–1721. https://doi.org/10.2106/JBJS.E.00907</w:t>
      </w:r>
    </w:p>
    <w:p>
      <w:pPr>
        <w:spacing w:before="0" w:after="0" w:line="480" w:lineRule="auto"/>
        <w:ind w:left="720" w:hanging="720"/>
      </w:pPr>
      <w:bookmarkStart w:id="3" w:name="REF_4"/>
      <w:bookmarkEnd w:id="3"/>
      <w:r>
        <w:rPr>
          <w:rFonts w:ascii="Times New Roman" w:hAnsi="Times New Roman" w:cs="Times New Roman"/>
          <w:b w:val="0"/>
          <w:i w:val="0"/>
          <w:color w:val="000000"/>
          <w:sz w:val="24"/>
        </w:rPr>
        <w:t>4.  Galla M, Lobenhoffer P. The direct, dorsal approach to the treatment of unstable tibial posteromedial fracture-dislocations. Unfallchirurg. 2003;106(3):241–247. https://doi.org/10.1007/s00113-003-0590-0</w:t>
      </w:r>
    </w:p>
    <w:p>
      <w:pPr>
        <w:spacing w:before="0" w:after="0" w:line="480" w:lineRule="auto"/>
        <w:ind w:left="720" w:hanging="720"/>
      </w:pPr>
      <w:bookmarkStart w:id="4" w:name="REF_5"/>
      <w:bookmarkEnd w:id="4"/>
      <w:r>
        <w:rPr>
          <w:rFonts w:ascii="Times New Roman" w:hAnsi="Times New Roman" w:cs="Times New Roman"/>
          <w:b w:val="0"/>
          <w:i w:val="0"/>
          <w:color w:val="000000"/>
          <w:sz w:val="24"/>
        </w:rPr>
        <w:t>5.  Lobenhoffer P, Gerich T, Bertram T, Lattermann C, Pohlemann T, Tscherne H. Particular surgical exposures for the treatment of tibial head fractures with posteromedial fragments. Unfallchirurg. 1997;100(12):957–967. https://doi.org/10.1007/s001130050213</w:t>
      </w:r>
    </w:p>
    <w:p>
      <w:pPr>
        <w:pageBreakBefore/>
        <w:spacing w:before="0" w:after="0" w:line="480" w:lineRule="auto"/>
        <w:jc w:val="center"/>
      </w:pPr>
      <w:r>
        <w:rPr>
          <w:rFonts w:ascii="Times New Roman" w:hAnsi="Times New Roman" w:cs="Times New Roman"/>
          <w:b/>
          <w:i w:val="0"/>
          <w:color w:val="000000"/>
          <w:sz w:val="24"/>
        </w:rPr>
        <w:t>Figure legends</w:t>
      </w:r>
    </w:p>
    <w:p>
      <w:pPr>
        <w:spacing w:before="0" w:after="0" w:line="480" w:lineRule="auto"/>
      </w:pPr>
      <w:r>
        <w:rPr>
          <w:rFonts w:ascii="Times New Roman" w:hAnsi="Times New Roman" w:cs="Times New Roman"/>
          <w:b w:val="0"/>
          <w:i w:val="0"/>
          <w:color w:val="000000"/>
          <w:sz w:val="24"/>
        </w:rPr>
        <w:t>Figure 1.  Operative photograph showing the curved posteromedial skin incision behind the medial collateral ligament with the saphenous neurovascular bundle protected superiorly.</w:t>
      </w:r>
    </w:p>
    <w:p>
      <w:pPr>
        <w:spacing w:before="0" w:after="0" w:line="480" w:lineRule="auto"/>
      </w:pPr>
      <w:r>
        <w:rPr>
          <w:rFonts w:ascii="Times New Roman" w:hAnsi="Times New Roman" w:cs="Times New Roman"/>
          <w:b w:val="0"/>
          <w:i w:val="0"/>
          <w:color w:val="000000"/>
          <w:sz w:val="24"/>
        </w:rPr>
        <w:t>Figure 2.  Operative photograph showing the exposed posteromedial fragment after capsulotomy, with the medial gastrocnemius retracted posteriorly.</w:t>
      </w:r>
    </w:p>
    <w:p>
      <w:pPr>
        <w:spacing w:before="0" w:after="0" w:line="480" w:lineRule="auto"/>
      </w:pPr>
      <w:r>
        <w:rPr>
          <w:rFonts w:ascii="Times New Roman" w:hAnsi="Times New Roman" w:cs="Times New Roman"/>
          <w:b w:val="0"/>
          <w:i w:val="0"/>
          <w:color w:val="000000"/>
          <w:sz w:val="24"/>
        </w:rPr>
        <w:t>Figure 3.  Postoperative anteroposterior and lateral radiographs demonstrating anatomic reduction of the posteromedial fragment and stable buttress plate fixation.</w:t>
      </w:r>
    </w:p>
    <w:p>
      <w:pPr>
        <w:spacing w:before="0" w:after="0" w:line="480" w:lineRule="auto"/>
      </w:pPr>
      <w:r>
        <w:rPr>
          <w:rFonts w:ascii="Times New Roman" w:hAnsi="Times New Roman" w:cs="Times New Roman"/>
          <w:b w:val="0"/>
          <w:i w:val="0"/>
          <w:color w:val="000000"/>
          <w:sz w:val="24"/>
        </w:rPr>
        <w:t>Figure 4.  Patient positioning diagram showing the supine position with hip bump and the location of the posteromedial incision relative to surface anatomy.</w:t>
      </w:r>
    </w:p>
    <w:sectPr w:rsidR="00FC693F" w:rsidRPr="0006063C" w:rsidSect="00034616">
      <w:headerReference w:type="default" r:id="rId9"/>
      <w:pgSz w:w="12240" w:h="15840"/>
      <w:pgMar w:top="1440" w:right="1440" w:bottom="1440" w:left="1440" w:header="720" w:footer="720" w:gutter="0"/>
      <w:cols w:space="720"/>
      <w:docGrid w:linePitch="360"/>
      <w:lnNumType w:countBy="1" w:start="1" w:restart="continuous" w:distan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line="240" w:lineRule="auto"/>
      <w:jc w:val="right"/>
    </w:pPr>
    <w:r>
      <w:rPr>
        <w:rFonts w:ascii="Times New Roman" w:hAnsi="Times New Roman" w:cs="Times New Roman"/>
        <w:i/>
        <w:color w:val="000000"/>
        <w:sz w:val="24"/>
      </w:rPr>
      <w:t>Modified posteromedial approach for tibial plateau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cs="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