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0" w:line="480" w:lineRule="auto"/>
        <w:jc w:val="left"/>
      </w:pPr>
      <w:r>
        <w:rPr>
          <w:rFonts w:ascii="Times New Roman" w:hAnsi="Times New Roman" w:cs="Times New Roman"/>
          <w:b/>
          <w:i w:val="0"/>
          <w:color w:val="000000"/>
          <w:sz w:val="24"/>
        </w:rPr>
        <w:t>Abstract</w:t>
      </w:r>
    </w:p>
    <w:p>
      <w:pPr>
        <w:spacing w:before="0" w:after="0" w:line="480" w:lineRule="auto"/>
      </w:pPr>
    </w:p>
    <w:p>
      <w:pPr>
        <w:spacing w:before="0" w:after="0" w:line="480" w:lineRule="auto"/>
        <w:jc w:val="left"/>
      </w:pPr>
      <w:r>
        <w:rPr>
          <w:rFonts w:ascii="Times New Roman" w:hAnsi="Times New Roman" w:cs="Times New Roman"/>
          <w:b/>
          <w:i w:val="0"/>
          <w:color w:val="000000"/>
          <w:sz w:val="24"/>
        </w:rPr>
        <w:t>Background</w:t>
      </w:r>
    </w:p>
    <w:p>
      <w:pPr>
        <w:spacing w:before="0" w:after="0" w:line="480" w:lineRule="auto"/>
      </w:pPr>
      <w:r>
        <w:rPr>
          <w:rFonts w:ascii="Times New Roman" w:hAnsi="Times New Roman" w:cs="Times New Roman"/>
          <w:b w:val="0"/>
          <w:i w:val="0"/>
          <w:color w:val="000000"/>
          <w:sz w:val="24"/>
        </w:rPr>
        <w:t>Bone marrow aspirate concentrate (BMAC) has been proposed as a biologic augmentation strategy for joint preservation in pre-collapse femoral head osteonecrosis. The strength of evidence supporting routine BMAC use is contested.</w:t>
      </w:r>
    </w:p>
    <w:p>
      <w:pPr>
        <w:spacing w:before="0" w:after="0" w:line="480" w:lineRule="auto"/>
      </w:pPr>
    </w:p>
    <w:p>
      <w:pPr>
        <w:spacing w:before="0" w:after="0" w:line="480" w:lineRule="auto"/>
        <w:jc w:val="left"/>
      </w:pPr>
      <w:r>
        <w:rPr>
          <w:rFonts w:ascii="Times New Roman" w:hAnsi="Times New Roman" w:cs="Times New Roman"/>
          <w:b/>
          <w:i w:val="0"/>
          <w:color w:val="000000"/>
          <w:sz w:val="24"/>
        </w:rPr>
        <w:t>Methods</w:t>
      </w:r>
    </w:p>
    <w:p>
      <w:pPr>
        <w:spacing w:before="0" w:after="0" w:line="480" w:lineRule="auto"/>
      </w:pPr>
      <w:r>
        <w:rPr>
          <w:rFonts w:ascii="Times New Roman" w:hAnsi="Times New Roman" w:cs="Times New Roman"/>
          <w:b w:val="0"/>
          <w:i w:val="0"/>
          <w:color w:val="000000"/>
          <w:sz w:val="24"/>
        </w:rPr>
        <w:t>We performed a systematic review of MEDLINE, Embase, and the Cochrane Library through December 2025 for studies comparing core decompression alone with core decompression plus BMAC in pre-collapse (Ficat I or II) femoral head osteonecrosis. Outcomes of interest were conversion to total hip arthroplasty and Harris Hip Score at minimum 24 months.</w:t>
      </w:r>
    </w:p>
    <w:p>
      <w:pPr>
        <w:spacing w:before="0" w:after="0" w:line="480" w:lineRule="auto"/>
      </w:pPr>
    </w:p>
    <w:p>
      <w:pPr>
        <w:spacing w:before="0" w:after="0" w:line="480" w:lineRule="auto"/>
        <w:jc w:val="left"/>
      </w:pPr>
      <w:r>
        <w:rPr>
          <w:rFonts w:ascii="Times New Roman" w:hAnsi="Times New Roman" w:cs="Times New Roman"/>
          <w:b/>
          <w:i w:val="0"/>
          <w:color w:val="000000"/>
          <w:sz w:val="24"/>
        </w:rPr>
        <w:t>Results</w:t>
      </w:r>
    </w:p>
    <w:p>
      <w:pPr>
        <w:spacing w:before="0" w:after="0" w:line="480" w:lineRule="auto"/>
      </w:pPr>
      <w:r>
        <w:rPr>
          <w:rFonts w:ascii="Times New Roman" w:hAnsi="Times New Roman" w:cs="Times New Roman"/>
          <w:b w:val="0"/>
          <w:i w:val="0"/>
          <w:color w:val="000000"/>
          <w:sz w:val="24"/>
        </w:rPr>
        <w:t>Twelve studies (1,247 hips) met inclusion criteria. Pooled conversion to arthroplasty was 18% with core decompression alone versus 11% with BMAC augmentation (relative risk 0.61; 95% confidence interval 0.48–0.78). Mean improvement in Harris Hip Score was modestly greater in the BMAC arm (+8 points; p = 0.02). Heterogeneity in injection technique, BMAC concentration, and lesion staging limited the strength of effect-size estimates.</w:t>
      </w:r>
    </w:p>
    <w:p>
      <w:pPr>
        <w:spacing w:before="0" w:after="0" w:line="480" w:lineRule="auto"/>
      </w:pPr>
    </w:p>
    <w:p>
      <w:pPr>
        <w:spacing w:before="0" w:after="0" w:line="480" w:lineRule="auto"/>
        <w:jc w:val="left"/>
      </w:pPr>
      <w:r>
        <w:rPr>
          <w:rFonts w:ascii="Times New Roman" w:hAnsi="Times New Roman" w:cs="Times New Roman"/>
          <w:b/>
          <w:i w:val="0"/>
          <w:color w:val="000000"/>
          <w:sz w:val="24"/>
        </w:rPr>
        <w:t>Conclusion</w:t>
      </w:r>
    </w:p>
    <w:p>
      <w:pPr>
        <w:spacing w:before="0" w:after="0" w:line="480" w:lineRule="auto"/>
      </w:pPr>
      <w:r>
        <w:rPr>
          <w:rFonts w:ascii="Times New Roman" w:hAnsi="Times New Roman" w:cs="Times New Roman"/>
          <w:b w:val="0"/>
          <w:i w:val="0"/>
          <w:color w:val="000000"/>
          <w:sz w:val="24"/>
        </w:rPr>
        <w:t>BMAC augmentation may reduce conversion to arthroplasty in pre-collapse femoral head osteonecrosis, but heterogeneity in technique limits clinical generalizability. Multicenter prospective trials with standardized BMAC preparation are needed.</w:t>
      </w:r>
    </w:p>
    <w:p>
      <w:pPr>
        <w:spacing w:before="0" w:after="0" w:line="480" w:lineRule="auto"/>
      </w:pPr>
    </w:p>
    <w:p>
      <w:pPr>
        <w:spacing w:before="0" w:after="0" w:line="480" w:lineRule="auto"/>
        <w:jc w:val="left"/>
      </w:pPr>
      <w:r>
        <w:rPr>
          <w:rFonts w:ascii="Times New Roman" w:hAnsi="Times New Roman" w:cs="Times New Roman"/>
          <w:b/>
          <w:i w:val="0"/>
          <w:color w:val="000000"/>
          <w:sz w:val="24"/>
        </w:rPr>
        <w:t>Keywords</w:t>
      </w:r>
    </w:p>
    <w:p>
      <w:pPr>
        <w:spacing w:before="0" w:after="0" w:line="480" w:lineRule="auto"/>
      </w:pPr>
      <w:r>
        <w:rPr>
          <w:rFonts w:ascii="Times New Roman" w:hAnsi="Times New Roman" w:cs="Times New Roman"/>
          <w:b w:val="0"/>
          <w:i w:val="0"/>
          <w:color w:val="000000"/>
          <w:sz w:val="24"/>
        </w:rPr>
        <w:t>avascular necrosis; femoral head; core decompression; bone marrow aspirate concentrate; systematic review</w:t>
      </w:r>
    </w:p>
    <w:p>
      <w:pPr>
        <w:spacing w:before="0" w:after="0" w:line="480" w:lineRule="auto"/>
      </w:pPr>
    </w:p>
    <w:p>
      <w:pPr>
        <w:pageBreakBefore/>
        <w:spacing w:before="0" w:after="0" w:line="480" w:lineRule="auto"/>
        <w:jc w:val="left"/>
      </w:pPr>
      <w:r>
        <w:rPr>
          <w:rFonts w:ascii="Times New Roman" w:hAnsi="Times New Roman" w:cs="Times New Roman"/>
          <w:b/>
          <w:i w:val="0"/>
          <w:color w:val="000000"/>
          <w:sz w:val="24"/>
        </w:rPr>
        <w:t>Introduction</w:t>
      </w:r>
    </w:p>
    <w:p>
      <w:pPr>
        <w:spacing w:before="0" w:after="0" w:line="480" w:lineRule="auto"/>
      </w:pPr>
      <w:r>
        <w:rPr>
          <w:rFonts w:ascii="Times New Roman" w:hAnsi="Times New Roman" w:cs="Times New Roman"/>
          <w:color w:val="000000"/>
          <w:sz w:val="24"/>
        </w:rPr>
        <w:t>Femoral head osteonecrosis is a debilitating condition that, untreated, progresses to subchondral collapse and end-stage osteoarthritis in more than 80% of cases</w:t>
      </w:r>
      <w:hyperlink w:anchor="REF_1" w:history="1">
        <w:r>
          <w:rPr>
            <w:rFonts w:ascii="Times New Roman" w:hAnsi="Times New Roman" w:cs="Times New Roman"/>
            <w:color w:val="0563C1"/>
            <w:sz w:val="24"/>
            <w:u w:val="single"/>
            <w:vertAlign w:val="superscript"/>
          </w:rPr>
          <w:t xml:space="preserve">1</w:t>
        </w:r>
      </w:hyperlink>
      <w:r>
        <w:rPr>
          <w:rFonts w:ascii="Times New Roman" w:hAnsi="Times New Roman" w:cs="Times New Roman"/>
          <w:color w:val="000000"/>
          <w:sz w:val="24"/>
        </w:rPr>
        <w:t>. Joint-preserving interventions in the pre-collapse stage have the potential to delay or obviate total hip arthroplasty in young patients, who otherwise face the prospect of one or more revision arthroplasties over their remaining lifespan</w:t>
      </w:r>
      <w:hyperlink w:anchor="REF_2" w:history="1">
        <w:r>
          <w:rPr>
            <w:rFonts w:ascii="Times New Roman" w:hAnsi="Times New Roman" w:cs="Times New Roman"/>
            <w:color w:val="0563C1"/>
            <w:sz w:val="24"/>
            <w:u w:val="single"/>
            <w:vertAlign w:val="superscript"/>
          </w:rPr>
          <w:t xml:space="preserve">2</w:t>
        </w:r>
      </w:hyperlink>
      <w:r>
        <w:rPr>
          <w:rFonts w:ascii="Times New Roman" w:hAnsi="Times New Roman" w:cs="Times New Roman"/>
          <w:color w:val="000000"/>
          <w:sz w:val="24"/>
        </w:rPr>
        <w:t>.</w:t>
      </w:r>
    </w:p>
    <w:p>
      <w:pPr>
        <w:spacing w:before="0" w:after="0" w:line="480" w:lineRule="auto"/>
      </w:pPr>
      <w:r>
        <w:rPr>
          <w:rFonts w:ascii="Times New Roman" w:hAnsi="Times New Roman" w:cs="Times New Roman"/>
          <w:color w:val="000000"/>
          <w:sz w:val="24"/>
        </w:rPr>
        <w:t>Core decompression remains the most extensively studied joint-preserving intervention. Reported success rates in Ficat stage I and II disease range from 60% to 80% across single- and multi-center series</w:t>
      </w:r>
      <w:hyperlink w:anchor="REF_3" w:history="1">
        <w:r>
          <w:rPr>
            <w:rFonts w:ascii="Times New Roman" w:hAnsi="Times New Roman" w:cs="Times New Roman"/>
            <w:color w:val="0563C1"/>
            <w:sz w:val="24"/>
            <w:u w:val="single"/>
            <w:vertAlign w:val="superscript"/>
          </w:rPr>
          <w:t xml:space="preserve">3</w:t>
        </w:r>
      </w:hyperlink>
      <w:hyperlink w:anchor="REF_3" w:history="1">
        <w:r>
          <w:rPr>
            <w:rFonts w:ascii="Times New Roman" w:hAnsi="Times New Roman" w:cs="Times New Roman"/>
            <w:color w:val="0563C1"/>
            <w:sz w:val="24"/>
            <w:u w:val="single"/>
            <w:vertAlign w:val="superscript"/>
          </w:rPr>
          <w:t xml:space="preserve">,</w:t>
        </w:r>
      </w:hyperlink>
      <w:hyperlink w:anchor="REF_4" w:history="1">
        <w:r>
          <w:rPr>
            <w:rFonts w:ascii="Times New Roman" w:hAnsi="Times New Roman" w:cs="Times New Roman"/>
            <w:color w:val="0563C1"/>
            <w:sz w:val="24"/>
            <w:u w:val="single"/>
            <w:vertAlign w:val="superscript"/>
          </w:rPr>
          <w:t xml:space="preserve">4</w:t>
        </w:r>
      </w:hyperlink>
      <w:r>
        <w:rPr>
          <w:rFonts w:ascii="Times New Roman" w:hAnsi="Times New Roman" w:cs="Times New Roman"/>
          <w:color w:val="000000"/>
          <w:sz w:val="24"/>
        </w:rPr>
        <w:t>. Biologic augmentation strategies — including autologous bone marrow aspirate concentrate (BMAC), demineralized bone matrix, and platelet-rich plasma — have emerged over the past two decades as proposed adjuncts to core decompression. The strength of evidence supporting routine biologic augmentation is contested, with proponents citing improved early outcomes and skeptics citing methodological heterogeneity and small effect sizes.</w:t>
      </w:r>
    </w:p>
    <w:p>
      <w:pPr>
        <w:spacing w:before="0" w:after="0" w:line="480" w:lineRule="auto"/>
      </w:pPr>
      <w:r>
        <w:rPr>
          <w:rFonts w:ascii="Times New Roman" w:hAnsi="Times New Roman" w:cs="Times New Roman"/>
          <w:b w:val="0"/>
          <w:i w:val="0"/>
          <w:color w:val="000000"/>
          <w:sz w:val="24"/>
        </w:rPr>
        <w:t>We performed a systematic review of the comparative literature evaluating core decompression alone versus core decompression with BMAC augmentation in pre-collapse femoral head osteonecrosis to clarify the strength and consistency of any reported clinical benefit.</w:t>
      </w:r>
    </w:p>
    <w:p>
      <w:pPr>
        <w:spacing w:before="0" w:after="0" w:line="480" w:lineRule="auto"/>
      </w:pPr>
    </w:p>
    <w:p>
      <w:pPr>
        <w:spacing w:before="0" w:after="0" w:line="480" w:lineRule="auto"/>
        <w:jc w:val="left"/>
      </w:pPr>
      <w:r>
        <w:rPr>
          <w:rFonts w:ascii="Times New Roman" w:hAnsi="Times New Roman" w:cs="Times New Roman"/>
          <w:b/>
          <w:i w:val="0"/>
          <w:color w:val="000000"/>
          <w:sz w:val="24"/>
        </w:rPr>
        <w:t>Methods</w:t>
      </w:r>
    </w:p>
    <w:p>
      <w:pPr>
        <w:spacing w:before="0" w:after="0" w:line="480" w:lineRule="auto"/>
      </w:pPr>
      <w:r>
        <w:rPr>
          <w:rFonts w:ascii="Times New Roman" w:hAnsi="Times New Roman" w:cs="Times New Roman"/>
          <w:b w:val="0"/>
          <w:i w:val="0"/>
          <w:color w:val="000000"/>
          <w:sz w:val="24"/>
        </w:rPr>
        <w:t>We conducted a systematic search of MEDLINE (via PubMed), Embase, and the Cochrane Central Register of Controlled Trials through December 31, 2025. The search strategy combined terms for femoral head osteonecrosis, core decompression, and bone marrow aspirate concentrate. Inclusion criteria were: (1) randomized controlled trial or comparative cohort study; (2) pre-collapse (Ficat I or II) disease; (3) explicit comparison of core decompression alone versus core decompression with BMAC; (4) minimum 24-month follow-up; (5) English-language publication.</w:t>
      </w:r>
    </w:p>
    <w:p>
      <w:pPr>
        <w:spacing w:before="0" w:after="0" w:line="480" w:lineRule="auto"/>
      </w:pPr>
      <w:r>
        <w:rPr>
          <w:rFonts w:ascii="Times New Roman" w:hAnsi="Times New Roman" w:cs="Times New Roman"/>
          <w:b w:val="0"/>
          <w:i w:val="0"/>
          <w:color w:val="000000"/>
          <w:sz w:val="24"/>
        </w:rPr>
        <w:t>Two reviewers independently screened titles and abstracts; disagreements were resolved by consensus. Quality of included studies was assessed using the Cochrane Risk of Bias 2 tool for randomized trials and the Newcastle-Ottawa Scale for cohort studies. The primary outcome was conversion to total hip arthroplasty by final follow-up. Secondary outcomes included Harris Hip Score change from baseline. Random-effects meta-analysis was used to pool effect sizes due to anticipated heterogeneity in injection technique and BMAC preparation.</w:t>
      </w:r>
    </w:p>
    <w:p>
      <w:pPr>
        <w:spacing w:before="0" w:after="0" w:line="480" w:lineRule="auto"/>
      </w:pPr>
    </w:p>
    <w:p>
      <w:pPr>
        <w:spacing w:before="0" w:after="0" w:line="480" w:lineRule="auto"/>
        <w:jc w:val="left"/>
      </w:pPr>
      <w:r>
        <w:rPr>
          <w:rFonts w:ascii="Times New Roman" w:hAnsi="Times New Roman" w:cs="Times New Roman"/>
          <w:b/>
          <w:i w:val="0"/>
          <w:color w:val="000000"/>
          <w:sz w:val="24"/>
        </w:rPr>
        <w:t>Results</w:t>
      </w:r>
    </w:p>
    <w:p>
      <w:pPr>
        <w:spacing w:before="0" w:after="0" w:line="480" w:lineRule="auto"/>
      </w:pPr>
      <w:r>
        <w:rPr>
          <w:rFonts w:ascii="Times New Roman" w:hAnsi="Times New Roman" w:cs="Times New Roman"/>
          <w:b w:val="0"/>
          <w:i w:val="0"/>
          <w:color w:val="000000"/>
          <w:sz w:val="24"/>
        </w:rPr>
        <w:t>The initial search yielded 384 records. After deduplication and title/abstract screening, 47 full-text articles were assessed; 12 studies (1,247 hips in 1,084 patients) met inclusion criteria. Patient and study characteristics are summarized in Table 1.</w:t>
      </w:r>
    </w:p>
    <w:p>
      <w:pPr>
        <w:spacing w:before="0" w:after="0" w:line="480" w:lineRule="auto"/>
      </w:pPr>
      <w:r>
        <w:rPr>
          <w:rFonts w:ascii="Times New Roman" w:hAnsi="Times New Roman" w:cs="Times New Roman"/>
          <w:b w:val="0"/>
          <w:i w:val="0"/>
          <w:color w:val="000000"/>
          <w:sz w:val="24"/>
        </w:rPr>
        <w:t>Pooled conversion to total hip arthroplasty was 18.2% (95% confidence interval 14.7–22.1%) with core decompression alone versus 11.0% (95% confidence interval 8.4–14.1%) with BMAC augmentation. The pooled relative risk for conversion was 0.61 (95% confidence interval 0.48–0.78; I² = 34%). Mean improvement in Harris Hip Score from baseline to final follow-up was +18 points with core decompression alone and +26 points with BMAC augmentation (mean difference +8 points; 95% confidence interval +1 to +15; p = 0.02).</w:t>
      </w:r>
    </w:p>
    <w:p>
      <w:pPr>
        <w:spacing w:before="0" w:after="0" w:line="480" w:lineRule="auto"/>
      </w:pPr>
      <w:r>
        <w:rPr>
          <w:rFonts w:ascii="Times New Roman" w:hAnsi="Times New Roman" w:cs="Times New Roman"/>
          <w:b w:val="0"/>
          <w:i w:val="0"/>
          <w:color w:val="000000"/>
          <w:sz w:val="24"/>
        </w:rPr>
        <w:t>Heterogeneity in BMAC concentration ranged from 4× to 24× nucleated cell concentration relative to peripheral marrow. Injection technique varied from single-bolus injection through the trephine track to multiple smaller injections at multiple decompression channels. Subgroup analysis by lesion stage demonstrated a more pronounced benefit of BMAC in Ficat stage II disease (relative risk 0.55) than in Ficat stage I disease (relative risk 0.74).</w:t>
      </w:r>
    </w:p>
    <w:p>
      <w:pPr>
        <w:spacing w:before="0" w:after="0" w:line="480" w:lineRule="auto"/>
      </w:pPr>
    </w:p>
    <w:p>
      <w:pPr>
        <w:spacing w:before="0" w:after="0" w:line="480" w:lineRule="auto"/>
        <w:jc w:val="left"/>
      </w:pPr>
      <w:r>
        <w:rPr>
          <w:rFonts w:ascii="Times New Roman" w:hAnsi="Times New Roman" w:cs="Times New Roman"/>
          <w:b/>
          <w:i w:val="0"/>
          <w:color w:val="000000"/>
          <w:sz w:val="24"/>
        </w:rPr>
        <w:t>Discussion</w:t>
      </w:r>
    </w:p>
    <w:p>
      <w:pPr>
        <w:spacing w:before="0" w:after="0" w:line="480" w:lineRule="auto"/>
      </w:pPr>
      <w:r>
        <w:rPr>
          <w:rFonts w:ascii="Times New Roman" w:hAnsi="Times New Roman" w:cs="Times New Roman"/>
          <w:color w:val="000000"/>
          <w:sz w:val="24"/>
        </w:rPr>
        <w:t>This systematic review identifies a modest but consistent reduction in conversion to total hip arthroplasty with BMAC augmentation of core decompression in pre-collapse femoral head osteonecrosis. The effect size is consistent with prior meta-analyses</w:t>
      </w:r>
      <w:hyperlink w:anchor="REF_5" w:history="1">
        <w:r>
          <w:rPr>
            <w:rFonts w:ascii="Times New Roman" w:hAnsi="Times New Roman" w:cs="Times New Roman"/>
            <w:color w:val="0563C1"/>
            <w:sz w:val="24"/>
            <w:u w:val="single"/>
            <w:vertAlign w:val="superscript"/>
          </w:rPr>
          <w:t xml:space="preserve">5</w:t>
        </w:r>
      </w:hyperlink>
      <w:hyperlink w:anchor="REF_5" w:history="1">
        <w:r>
          <w:rPr>
            <w:rFonts w:ascii="Times New Roman" w:hAnsi="Times New Roman" w:cs="Times New Roman"/>
            <w:color w:val="0563C1"/>
            <w:sz w:val="24"/>
            <w:u w:val="single"/>
            <w:vertAlign w:val="superscript"/>
          </w:rPr>
          <w:t xml:space="preserve">,</w:t>
        </w:r>
      </w:hyperlink>
      <w:hyperlink w:anchor="REF_6" w:history="1">
        <w:r>
          <w:rPr>
            <w:rFonts w:ascii="Times New Roman" w:hAnsi="Times New Roman" w:cs="Times New Roman"/>
            <w:color w:val="0563C1"/>
            <w:sz w:val="24"/>
            <w:u w:val="single"/>
            <w:vertAlign w:val="superscript"/>
          </w:rPr>
          <w:t xml:space="preserve">6</w:t>
        </w:r>
      </w:hyperlink>
      <w:r>
        <w:rPr>
          <w:rFonts w:ascii="Times New Roman" w:hAnsi="Times New Roman" w:cs="Times New Roman"/>
          <w:color w:val="000000"/>
          <w:sz w:val="24"/>
        </w:rPr>
        <w:t xml:space="preserve"> and is more pronounced in Ficat stage II disease, where the underlying probability of progression with core decompression alone is higher.</w:t>
      </w:r>
    </w:p>
    <w:p>
      <w:pPr>
        <w:spacing w:before="0" w:after="0" w:line="480" w:lineRule="auto"/>
      </w:pPr>
      <w:r>
        <w:rPr>
          <w:rFonts w:ascii="Times New Roman" w:hAnsi="Times New Roman" w:cs="Times New Roman"/>
          <w:b w:val="0"/>
          <w:i w:val="0"/>
          <w:color w:val="000000"/>
          <w:sz w:val="24"/>
        </w:rPr>
        <w:t>Three methodological limitations temper the strength of any single-study or pooled estimate. First, BMAC concentration and injection technique varied substantially across the included studies. Second, lesion staging in the included literature relied on Ficat classification, which is known to underestimate lesion volume relative to MRI-based volumetric assessment. Third, the included literature is dominated by single-center retrospective cohorts; only three of the 12 included studies were prospective randomized trials.</w:t>
      </w:r>
    </w:p>
    <w:p>
      <w:pPr>
        <w:spacing w:before="0" w:after="0" w:line="480" w:lineRule="auto"/>
      </w:pPr>
      <w:r>
        <w:rPr>
          <w:rFonts w:ascii="Times New Roman" w:hAnsi="Times New Roman" w:cs="Times New Roman"/>
          <w:b w:val="0"/>
          <w:i w:val="0"/>
          <w:color w:val="000000"/>
          <w:sz w:val="24"/>
        </w:rPr>
        <w:t>A multicenter randomized comparison of core decompression alone versus core decompression with BMAC in a population stratified by preoperative lesion volume — using a standardized BMAC preparation protocol — would address all three of these limitations and would provide the strongest evidence base for routine biologic augmentation in this population.</w:t>
      </w:r>
    </w:p>
    <w:p>
      <w:pPr>
        <w:spacing w:before="0" w:after="0" w:line="480" w:lineRule="auto"/>
      </w:pPr>
    </w:p>
    <w:p>
      <w:pPr>
        <w:spacing w:before="0" w:after="0" w:line="480" w:lineRule="auto"/>
        <w:jc w:val="left"/>
      </w:pPr>
      <w:r>
        <w:rPr>
          <w:rFonts w:ascii="Times New Roman" w:hAnsi="Times New Roman" w:cs="Times New Roman"/>
          <w:b/>
          <w:i w:val="0"/>
          <w:color w:val="000000"/>
          <w:sz w:val="24"/>
        </w:rPr>
        <w:t>Conclusion</w:t>
      </w:r>
    </w:p>
    <w:p>
      <w:pPr>
        <w:spacing w:before="0" w:after="0" w:line="480" w:lineRule="auto"/>
      </w:pPr>
      <w:r>
        <w:rPr>
          <w:rFonts w:ascii="Times New Roman" w:hAnsi="Times New Roman" w:cs="Times New Roman"/>
          <w:b w:val="0"/>
          <w:i w:val="0"/>
          <w:color w:val="000000"/>
          <w:sz w:val="24"/>
        </w:rPr>
        <w:t>BMAC augmentation of core decompression may reduce conversion to total hip arthroplasty in pre-collapse femoral head osteonecrosis, with a more pronounced effect in Ficat stage II disease. Heterogeneity in BMAC preparation and injection technique limits the generalizability of pooled estimates. Standardized multicenter trials are needed.</w:t>
      </w:r>
    </w:p>
    <w:p>
      <w:pPr>
        <w:pageBreakBefore/>
        <w:spacing w:before="0" w:after="0" w:line="480" w:lineRule="auto"/>
        <w:jc w:val="center"/>
      </w:pPr>
      <w:r>
        <w:rPr>
          <w:rFonts w:ascii="Times New Roman" w:hAnsi="Times New Roman" w:cs="Times New Roman"/>
          <w:b/>
          <w:i w:val="0"/>
          <w:color w:val="000000"/>
          <w:sz w:val="24"/>
        </w:rPr>
        <w:t>References</w:t>
      </w:r>
    </w:p>
    <w:p>
      <w:pPr>
        <w:spacing w:before="0" w:after="0" w:line="480" w:lineRule="auto"/>
        <w:ind w:left="720" w:hanging="720"/>
      </w:pPr>
      <w:bookmarkStart w:id="0" w:name="REF_1"/>
      <w:bookmarkEnd w:id="0"/>
      <w:r>
        <w:rPr>
          <w:rFonts w:ascii="Times New Roman" w:hAnsi="Times New Roman" w:cs="Times New Roman"/>
          <w:b w:val="0"/>
          <w:i w:val="0"/>
          <w:color w:val="000000"/>
          <w:sz w:val="24"/>
        </w:rPr>
        <w:t>1.  Mont MA, Cherian JJ, Sierra RJ, Jones LC, Lieberman JR. Nontraumatic osteonecrosis of the femoral head: where do we stand today? J Bone Joint Surg Am. 2015;97(19):1604–1627. https://doi.org/10.2106/JBJS.O.00071</w:t>
      </w:r>
    </w:p>
    <w:p>
      <w:pPr>
        <w:spacing w:before="0" w:after="0" w:line="480" w:lineRule="auto"/>
        <w:ind w:left="720" w:hanging="720"/>
      </w:pPr>
      <w:bookmarkStart w:id="1" w:name="REF_2"/>
      <w:bookmarkEnd w:id="1"/>
      <w:r>
        <w:rPr>
          <w:rFonts w:ascii="Times New Roman" w:hAnsi="Times New Roman" w:cs="Times New Roman"/>
          <w:b w:val="0"/>
          <w:i w:val="0"/>
          <w:color w:val="000000"/>
          <w:sz w:val="24"/>
        </w:rPr>
        <w:t>2.  Lieberman JR, Berry DJ, Mont MA, et al. Osteonecrosis of the hip: management in the 21st century. Instr Course Lect. 2003;52:337–355.</w:t>
      </w:r>
    </w:p>
    <w:p>
      <w:pPr>
        <w:spacing w:before="0" w:after="0" w:line="480" w:lineRule="auto"/>
        <w:ind w:left="720" w:hanging="720"/>
      </w:pPr>
      <w:bookmarkStart w:id="2" w:name="REF_3"/>
      <w:bookmarkEnd w:id="2"/>
      <w:r>
        <w:rPr>
          <w:rFonts w:ascii="Times New Roman" w:hAnsi="Times New Roman" w:cs="Times New Roman"/>
          <w:b w:val="0"/>
          <w:i w:val="0"/>
          <w:color w:val="000000"/>
          <w:sz w:val="24"/>
        </w:rPr>
        <w:t>3.  Marker DR, Seyler TM, Ulrich SD, Srivastava S, Mont MA. Do modern techniques improve core decompression outcomes for hip osteonecrosis? Clin Orthop Relat Res. 2008;466(5):1093–1103. https://doi.org/10.1007/s11999-008-0184-9</w:t>
      </w:r>
    </w:p>
    <w:p>
      <w:pPr>
        <w:spacing w:before="0" w:after="0" w:line="480" w:lineRule="auto"/>
        <w:ind w:left="720" w:hanging="720"/>
      </w:pPr>
      <w:bookmarkStart w:id="3" w:name="REF_4"/>
      <w:bookmarkEnd w:id="3"/>
      <w:r>
        <w:rPr>
          <w:rFonts w:ascii="Times New Roman" w:hAnsi="Times New Roman" w:cs="Times New Roman"/>
          <w:b w:val="0"/>
          <w:i w:val="0"/>
          <w:color w:val="000000"/>
          <w:sz w:val="24"/>
        </w:rPr>
        <w:t>4.  Pierce TP, Jauregui JJ, Cherian JJ, Elmallah RK, Mont MA. Outcomes of total hip arthroplasty in patients with osteonecrosis of the femoral head. Clin Orthop Relat Res. 2015;473(8):2487–2493. https://doi.org/10.1007/s11999-015-4252-7</w:t>
      </w:r>
    </w:p>
    <w:p>
      <w:pPr>
        <w:spacing w:before="0" w:after="0" w:line="480" w:lineRule="auto"/>
        <w:ind w:left="720" w:hanging="720"/>
      </w:pPr>
      <w:bookmarkStart w:id="4" w:name="REF_5"/>
      <w:bookmarkEnd w:id="4"/>
      <w:r>
        <w:rPr>
          <w:rFonts w:ascii="Times New Roman" w:hAnsi="Times New Roman" w:cs="Times New Roman"/>
          <w:b w:val="0"/>
          <w:i w:val="0"/>
          <w:color w:val="000000"/>
          <w:sz w:val="24"/>
        </w:rPr>
        <w:t>5.  Hernigou P, Beaujean F. Treatment of osteonecrosis with autologous bone marrow grafting. Clin Orthop Relat Res. 2002;405:14–23. https://doi.org/10.1097/00003086-200212000-00003</w:t>
      </w:r>
    </w:p>
    <w:p>
      <w:pPr>
        <w:spacing w:before="0" w:after="0" w:line="480" w:lineRule="auto"/>
        <w:ind w:left="720" w:hanging="720"/>
      </w:pPr>
      <w:bookmarkStart w:id="5" w:name="REF_6"/>
      <w:bookmarkEnd w:id="5"/>
      <w:r>
        <w:rPr>
          <w:rFonts w:ascii="Times New Roman" w:hAnsi="Times New Roman" w:cs="Times New Roman"/>
          <w:b w:val="0"/>
          <w:i w:val="0"/>
          <w:color w:val="000000"/>
          <w:sz w:val="24"/>
        </w:rPr>
        <w:t>6.  Andriolo L, Merli G, Tobar C, Altamura SA, Kon E, Filardo G. Cell therapy for osteonecrosis of the femoral head: a systematic review. Stem Cells Int. 2018;2018:4548349. https://doi.org/10.1155/2018/4548349</w:t>
      </w:r>
    </w:p>
    <w:p>
      <w:pPr>
        <w:pageBreakBefore/>
        <w:spacing w:before="0" w:after="0" w:line="480" w:lineRule="auto"/>
        <w:jc w:val="center"/>
      </w:pPr>
      <w:r>
        <w:rPr>
          <w:rFonts w:ascii="Times New Roman" w:hAnsi="Times New Roman" w:cs="Times New Roman"/>
          <w:b/>
          <w:i w:val="0"/>
          <w:color w:val="000000"/>
          <w:sz w:val="24"/>
        </w:rPr>
        <w:t>Figure legends</w:t>
      </w:r>
    </w:p>
    <w:p>
      <w:pPr>
        <w:spacing w:before="0" w:after="0" w:line="480" w:lineRule="auto"/>
      </w:pPr>
      <w:r>
        <w:rPr>
          <w:rFonts w:ascii="Times New Roman" w:hAnsi="Times New Roman" w:cs="Times New Roman"/>
          <w:b w:val="0"/>
          <w:i w:val="0"/>
          <w:color w:val="000000"/>
          <w:sz w:val="24"/>
        </w:rPr>
        <w:t>Figure 1.  PRISMA flow diagram of study identification, screening, eligibility, and inclusion through the systematic review process.</w:t>
      </w:r>
    </w:p>
    <w:p>
      <w:pPr>
        <w:spacing w:before="0" w:after="0" w:line="480" w:lineRule="auto"/>
      </w:pPr>
      <w:r>
        <w:rPr>
          <w:rFonts w:ascii="Times New Roman" w:hAnsi="Times New Roman" w:cs="Times New Roman"/>
          <w:b w:val="0"/>
          <w:i w:val="0"/>
          <w:color w:val="000000"/>
          <w:sz w:val="24"/>
        </w:rPr>
        <w:t>Figure 2.  Forest plot of pooled relative risk of conversion to total hip arthroplasty across the 12 included studies.</w:t>
      </w:r>
    </w:p>
    <w:sectPr w:rsidR="00FC693F" w:rsidRPr="0006063C" w:rsidSect="00034616">
      <w:headerReference w:type="default" r:id="rId9"/>
      <w:pgSz w:w="12240" w:h="15840"/>
      <w:pgMar w:top="1440" w:right="1440" w:bottom="1440" w:left="1440" w:header="720" w:footer="720" w:gutter="0"/>
      <w:cols w:space="720"/>
      <w:docGrid w:linePitch="360"/>
      <w:lnNumType w:countBy="1" w:start="1" w:restart="continuous" w:distance="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spacing w:before="0" w:after="0" w:line="240" w:lineRule="auto"/>
      <w:jc w:val="right"/>
    </w:pPr>
    <w:r>
      <w:rPr>
        <w:rFonts w:ascii="Times New Roman" w:hAnsi="Times New Roman" w:cs="Times New Roman"/>
        <w:i/>
        <w:color w:val="000000"/>
        <w:sz w:val="24"/>
      </w:rPr>
      <w:t>BMAC vs core decompression alone — systematic review</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cs="Times New Roman"/>
      <w:color w:val="00000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