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ageBreakBefore/>
        <w:spacing w:before="0" w:after="0" w:line="480" w:lineRule="auto"/>
        <w:jc w:val="left"/>
      </w:pPr>
      <w:r>
        <w:rPr>
          <w:rFonts w:ascii="Times New Roman" w:hAnsi="Times New Roman" w:cs="Times New Roman"/>
          <w:b/>
          <w:i w:val="0"/>
          <w:color w:val="000000"/>
          <w:sz w:val="24"/>
        </w:rPr>
        <w:t>Body</w:t>
      </w:r>
    </w:p>
    <w:p>
      <w:pPr>
        <w:spacing w:before="0" w:after="0" w:line="480" w:lineRule="auto"/>
      </w:pPr>
      <w:r>
        <w:rPr>
          <w:rFonts w:ascii="Times New Roman" w:hAnsi="Times New Roman" w:cs="Times New Roman"/>
          <w:b w:val="0"/>
          <w:i w:val="0"/>
          <w:color w:val="000000"/>
          <w:sz w:val="24"/>
        </w:rPr>
        <w:t>We read with interest the recent case series by Patel and colleagues on staged bilateral core decompression with bone marrow aspirate concentrate for COVID-era corticosteroid-induced femoral head osteonecrosis (OSCRSJ. 2026;1(2):e0007. https://doi.org/10.99999/oscrsj.2026.0007). The authors report excellent radiographic and functional outcomes at minimum 18-month follow-up in a population that had received cumulative corticosteroid exposure substantially below the historical 2,000 mg prednisone-equivalent threshold. We commend the authors on a careful series and offer two observations.</w:t>
      </w:r>
    </w:p>
    <w:p>
      <w:pPr>
        <w:spacing w:before="0" w:after="0" w:line="480" w:lineRule="auto"/>
      </w:pPr>
      <w:r>
        <w:rPr>
          <w:rFonts w:ascii="Times New Roman" w:hAnsi="Times New Roman" w:cs="Times New Roman"/>
          <w:color w:val="000000"/>
          <w:sz w:val="24"/>
        </w:rPr>
        <w:t>First, the authors note that the single conversion to total hip arthroplasty in their cohort occurred in the patient with the largest preoperative lesion volume (47% of femoral head). This finding is consistent with the broader literature on lesion size as a predictor of progression after core decompression</w:t>
      </w:r>
      <w:hyperlink w:anchor="REF_1" w:history="1">
        <w:r>
          <w:rPr>
            <w:rFonts w:ascii="Times New Roman" w:hAnsi="Times New Roman" w:cs="Times New Roman"/>
            <w:color w:val="0563C1"/>
            <w:sz w:val="24"/>
            <w:u w:val="single"/>
            <w:vertAlign w:val="superscript"/>
          </w:rPr>
          <w:t xml:space="preserve">1</w:t>
        </w:r>
      </w:hyperlink>
      <w:hyperlink w:anchor="REF_1" w:history="1">
        <w:r>
          <w:rPr>
            <w:rFonts w:ascii="Times New Roman" w:hAnsi="Times New Roman" w:cs="Times New Roman"/>
            <w:color w:val="0563C1"/>
            <w:sz w:val="24"/>
            <w:u w:val="single"/>
            <w:vertAlign w:val="superscript"/>
          </w:rPr>
          <w:t xml:space="preserve">,</w:t>
        </w:r>
      </w:hyperlink>
      <w:hyperlink w:anchor="REF_2" w:history="1">
        <w:r>
          <w:rPr>
            <w:rFonts w:ascii="Times New Roman" w:hAnsi="Times New Roman" w:cs="Times New Roman"/>
            <w:color w:val="0563C1"/>
            <w:sz w:val="24"/>
            <w:u w:val="single"/>
            <w:vertAlign w:val="superscript"/>
          </w:rPr>
          <w:t xml:space="preserve">2</w:t>
        </w:r>
      </w:hyperlink>
      <w:r>
        <w:rPr>
          <w:rFonts w:ascii="Times New Roman" w:hAnsi="Times New Roman" w:cs="Times New Roman"/>
          <w:color w:val="000000"/>
          <w:sz w:val="24"/>
        </w:rPr>
        <w:t>. We would suggest that future series stratify outcomes by preoperative lesion volume in 10% or 25% volumetric increments rather than reporting a continuous variable, which would aid surgical decision-making at the bedside.</w:t>
      </w:r>
    </w:p>
    <w:p>
      <w:pPr>
        <w:spacing w:before="0" w:after="0" w:line="480" w:lineRule="auto"/>
      </w:pPr>
      <w:r>
        <w:rPr>
          <w:rFonts w:ascii="Times New Roman" w:hAnsi="Times New Roman" w:cs="Times New Roman"/>
          <w:color w:val="000000"/>
          <w:sz w:val="24"/>
        </w:rPr>
        <w:t>Second, the authors do not address whether biologic augmentation with bone marrow aspirate concentrate is responsible for the reported outcomes beyond what would be expected with core decompression alone. The literature on this question remains inconclusive. A recent meta-analysis by Hernigou and colleagues reported a 12-percentage-point reduction in conversion to arthroplasty with BMAC augmentation versus core decompression alone, but heterogeneity in injection technique and concentration limits the strength of that finding</w:t>
      </w:r>
      <w:hyperlink w:anchor="REF_3" w:history="1">
        <w:r>
          <w:rPr>
            <w:rFonts w:ascii="Times New Roman" w:hAnsi="Times New Roman" w:cs="Times New Roman"/>
            <w:color w:val="0563C1"/>
            <w:sz w:val="24"/>
            <w:u w:val="single"/>
            <w:vertAlign w:val="superscript"/>
          </w:rPr>
          <w:t xml:space="preserve">3</w:t>
        </w:r>
      </w:hyperlink>
      <w:r>
        <w:rPr>
          <w:rFonts w:ascii="Times New Roman" w:hAnsi="Times New Roman" w:cs="Times New Roman"/>
          <w:color w:val="000000"/>
          <w:sz w:val="24"/>
        </w:rPr>
        <w:t>. A multicenter randomized comparison of core decompression alone versus core decompression with BMAC in this specific COVID-era population would be the natural next step and would help clarify whether BMAC is an essential adjunct or a useful but optional one.</w:t>
      </w:r>
    </w:p>
    <w:p>
      <w:pPr>
        <w:spacing w:before="0" w:after="0" w:line="480" w:lineRule="auto"/>
      </w:pPr>
      <w:r>
        <w:rPr>
          <w:rFonts w:ascii="Times New Roman" w:hAnsi="Times New Roman" w:cs="Times New Roman"/>
          <w:b w:val="0"/>
          <w:i w:val="0"/>
          <w:color w:val="000000"/>
          <w:sz w:val="24"/>
        </w:rPr>
        <w:t>We thank the authors for their contribution and look forward to further reports from this cohort at extended follow-up.</w:t>
      </w:r>
    </w:p>
    <w:p>
      <w:pPr>
        <w:pageBreakBefore/>
        <w:spacing w:before="0" w:after="0" w:line="480" w:lineRule="auto"/>
        <w:jc w:val="center"/>
      </w:pPr>
      <w:r>
        <w:rPr>
          <w:rFonts w:ascii="Times New Roman" w:hAnsi="Times New Roman" w:cs="Times New Roman"/>
          <w:b/>
          <w:i w:val="0"/>
          <w:color w:val="000000"/>
          <w:sz w:val="24"/>
        </w:rPr>
        <w:t>References</w:t>
      </w:r>
    </w:p>
    <w:p>
      <w:pPr>
        <w:spacing w:before="0" w:after="0" w:line="480" w:lineRule="auto"/>
        <w:ind w:left="720" w:hanging="720"/>
      </w:pPr>
      <w:bookmarkStart w:id="0" w:name="REF_1"/>
      <w:bookmarkEnd w:id="0"/>
      <w:r>
        <w:rPr>
          <w:rFonts w:ascii="Times New Roman" w:hAnsi="Times New Roman" w:cs="Times New Roman"/>
          <w:b w:val="0"/>
          <w:i w:val="0"/>
          <w:color w:val="000000"/>
          <w:sz w:val="24"/>
        </w:rPr>
        <w:t>1.  Mont MA, Cherian JJ, Sierra RJ, Jones LC, Lieberman JR. Nontraumatic osteonecrosis of the femoral head: where do we stand today? J Bone Joint Surg Am. 2015;97(19):1604–1627. https://doi.org/10.2106/JBJS.O.00071</w:t>
      </w:r>
    </w:p>
    <w:p>
      <w:pPr>
        <w:spacing w:before="0" w:after="0" w:line="480" w:lineRule="auto"/>
        <w:ind w:left="720" w:hanging="720"/>
      </w:pPr>
      <w:bookmarkStart w:id="1" w:name="REF_2"/>
      <w:bookmarkEnd w:id="1"/>
      <w:r>
        <w:rPr>
          <w:rFonts w:ascii="Times New Roman" w:hAnsi="Times New Roman" w:cs="Times New Roman"/>
          <w:b w:val="0"/>
          <w:i w:val="0"/>
          <w:color w:val="000000"/>
          <w:sz w:val="24"/>
        </w:rPr>
        <w:t>2.  Steinberg ME, Hayken GD, Steinberg DR. A quantitative system for staging avascular necrosis. J Bone Joint Surg Br. 1995;77(1):34–41.</w:t>
      </w:r>
    </w:p>
    <w:p>
      <w:pPr>
        <w:spacing w:before="0" w:after="0" w:line="480" w:lineRule="auto"/>
        <w:ind w:left="720" w:hanging="720"/>
      </w:pPr>
      <w:bookmarkStart w:id="2" w:name="REF_3"/>
      <w:bookmarkEnd w:id="2"/>
      <w:r>
        <w:rPr>
          <w:rFonts w:ascii="Times New Roman" w:hAnsi="Times New Roman" w:cs="Times New Roman"/>
          <w:b w:val="0"/>
          <w:i w:val="0"/>
          <w:color w:val="000000"/>
          <w:sz w:val="24"/>
        </w:rPr>
        <w:t>3.  Hernigou P, Beaujean F. Treatment of osteonecrosis with autologous bone marrow grafting. Clin Orthop Relat Res. 2002;405:14–23. https://doi.org/10.1097/00003086-200212000-00003</w:t>
      </w:r>
    </w:p>
    <w:sectPr w:rsidR="00FC693F" w:rsidRPr="0006063C" w:rsidSect="00034616">
      <w:headerReference w:type="default" r:id="rId9"/>
      <w:pgSz w:w="12240" w:h="15840"/>
      <w:pgMar w:top="1440" w:right="1440" w:bottom="1440" w:left="1440" w:header="720" w:footer="720" w:gutter="0"/>
      <w:cols w:space="720"/>
      <w:docGrid w:linePitch="360"/>
      <w:lnNumType w:countBy="1" w:start="1" w:restart="continuous" w:distan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line="240" w:lineRule="auto"/>
      <w:jc w:val="right"/>
    </w:pPr>
    <w:r>
      <w:rPr>
        <w:rFonts w:ascii="Times New Roman" w:hAnsi="Times New Roman" w:cs="Times New Roman"/>
        <w:i/>
        <w:color w:val="000000"/>
        <w:sz w:val="24"/>
      </w:rPr>
      <w:t>Letter — re: Patel et al. on BMAC for COVID-era AVN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s="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