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480" w:lineRule="auto"/>
        <w:jc w:val="left"/>
      </w:pPr>
      <w:r>
        <w:rPr>
          <w:rFonts w:ascii="Times New Roman" w:hAnsi="Times New Roman" w:cs="Times New Roman"/>
          <w:b/>
          <w:i w:val="0"/>
          <w:color w:val="000000"/>
          <w:sz w:val="24"/>
        </w:rPr>
        <w:t>Keywords</w:t>
      </w:r>
    </w:p>
    <w:p>
      <w:pPr>
        <w:spacing w:before="0" w:after="0" w:line="480" w:lineRule="auto"/>
      </w:pPr>
      <w:r>
        <w:rPr>
          <w:rFonts w:ascii="Times New Roman" w:hAnsi="Times New Roman" w:cs="Times New Roman"/>
          <w:b w:val="0"/>
          <w:i w:val="0"/>
          <w:color w:val="000000"/>
          <w:sz w:val="24"/>
        </w:rPr>
        <w:t>calcaneal stress fracture; running injury; magnetic resonance imaging</w:t>
      </w:r>
    </w:p>
    <w:p>
      <w:pPr>
        <w:spacing w:before="0" w:after="0" w:line="480" w:lineRule="auto"/>
      </w:pPr>
    </w:p>
    <w:p>
      <w:pPr>
        <w:pageBreakBefore/>
        <w:spacing w:before="0" w:after="0" w:line="480" w:lineRule="auto"/>
        <w:jc w:val="left"/>
      </w:pPr>
      <w:r>
        <w:rPr>
          <w:rFonts w:ascii="Times New Roman" w:hAnsi="Times New Roman" w:cs="Times New Roman"/>
          <w:b/>
          <w:i w:val="0"/>
          <w:color w:val="000000"/>
          <w:sz w:val="24"/>
        </w:rPr>
        <w:t>Clinical description</w:t>
      </w:r>
    </w:p>
    <w:p>
      <w:pPr>
        <w:spacing w:before="0" w:after="0" w:line="480" w:lineRule="auto"/>
      </w:pPr>
      <w:r>
        <w:rPr>
          <w:rFonts w:ascii="Times New Roman" w:hAnsi="Times New Roman" w:cs="Times New Roman"/>
          <w:color w:val="000000"/>
          <w:sz w:val="24"/>
        </w:rPr>
        <w:t>A 32-year-old recreational marathon runner presented with a six-week history of bilateral heel pain that had worsened progressively over the prior four weeks of training and was poorly relieved by rest. He had no preceding trauma and no prior history of stress fracture. His weekly running volume had increased from 35 to 65 miles over the eight weeks preceding presentation in preparation for an upcoming marathon. Physical examination demonstrated point tenderness over the posterior calcaneal tuberosities bilaterally without swelling or erythema. Plain radiographs were unremarkable. Magnetic resonance imaging demonstrated bilateral linear low-signal lesions in the posterior calcanei with surrounding marrow edema on T2-weighted sequences, consistent with bilateral calcaneal stress fractures (Figure 1)</w:t>
      </w:r>
      <w:hyperlink w:anchor="REF_1" w:history="1">
        <w:r>
          <w:rPr>
            <w:rFonts w:ascii="Times New Roman" w:hAnsi="Times New Roman" w:cs="Times New Roman"/>
            <w:color w:val="0563C1"/>
            <w:sz w:val="24"/>
            <w:u w:val="single"/>
            <w:vertAlign w:val="superscript"/>
          </w:rPr>
          <w:t xml:space="preserve">1</w:t>
        </w:r>
      </w:hyperlink>
      <w:r>
        <w:rPr>
          <w:rFonts w:ascii="Times New Roman" w:hAnsi="Times New Roman" w:cs="Times New Roman"/>
          <w:color w:val="000000"/>
          <w:sz w:val="24"/>
        </w:rPr>
        <w:t>.</w:t>
      </w:r>
    </w:p>
    <w:p>
      <w:pPr>
        <w:spacing w:before="0" w:after="0" w:line="480" w:lineRule="auto"/>
      </w:pPr>
      <w:r>
        <w:rPr>
          <w:rFonts w:ascii="Times New Roman" w:hAnsi="Times New Roman" w:cs="Times New Roman"/>
          <w:color w:val="000000"/>
          <w:sz w:val="24"/>
        </w:rPr>
        <w:t>The patient was placed in a controlled ankle-motion boot with progression to weight-bearing as tolerated and instructed to discontinue running for eight weeks. Vitamin D, calcium, and serum 25-hydroxyvitamin D levels were within normal limits. At eight-week follow-up, his pain had resolved and a graded return-to-run program was initiated</w:t>
      </w:r>
      <w:hyperlink w:anchor="REF_2" w:history="1">
        <w:r>
          <w:rPr>
            <w:rFonts w:ascii="Times New Roman" w:hAnsi="Times New Roman" w:cs="Times New Roman"/>
            <w:color w:val="0563C1"/>
            <w:sz w:val="24"/>
            <w:u w:val="single"/>
            <w:vertAlign w:val="superscript"/>
          </w:rPr>
          <w:t xml:space="preserve">2</w:t>
        </w:r>
      </w:hyperlink>
      <w:r>
        <w:rPr>
          <w:rFonts w:ascii="Times New Roman" w:hAnsi="Times New Roman" w:cs="Times New Roman"/>
          <w:color w:val="000000"/>
          <w:sz w:val="24"/>
        </w:rPr>
        <w:t>. He had no recurrence at six months.</w:t>
      </w:r>
    </w:p>
    <w:p>
      <w:pPr>
        <w:spacing w:before="0" w:after="0" w:line="480" w:lineRule="auto"/>
      </w:pPr>
    </w:p>
    <w:p>
      <w:pPr>
        <w:spacing w:before="0" w:after="0" w:line="480" w:lineRule="auto"/>
        <w:jc w:val="left"/>
      </w:pPr>
      <w:r>
        <w:rPr>
          <w:rFonts w:ascii="Times New Roman" w:hAnsi="Times New Roman" w:cs="Times New Roman"/>
          <w:b/>
          <w:i w:val="0"/>
          <w:color w:val="000000"/>
          <w:sz w:val="24"/>
        </w:rPr>
        <w:t>Teaching point</w:t>
      </w:r>
    </w:p>
    <w:p>
      <w:pPr>
        <w:spacing w:before="0" w:after="0" w:line="480" w:lineRule="auto"/>
      </w:pPr>
      <w:r>
        <w:rPr>
          <w:rFonts w:ascii="Times New Roman" w:hAnsi="Times New Roman" w:cs="Times New Roman"/>
          <w:b w:val="0"/>
          <w:i w:val="0"/>
          <w:color w:val="000000"/>
          <w:sz w:val="24"/>
        </w:rPr>
        <w:t>Calcaneal stress fractures should be considered in runners with recent training-volume escalation and posterior heel pain unresponsive to rest, even when plain radiographs are unremarkable. Magnetic resonance imaging is the imaging modality of choice for confirming the diagnosis at the pre-fracture-line stage.</w:t>
      </w:r>
    </w:p>
    <w:p>
      <w:pPr>
        <w:pageBreakBefore/>
        <w:spacing w:before="0" w:after="0" w:line="480" w:lineRule="auto"/>
        <w:jc w:val="center"/>
      </w:pPr>
      <w:r>
        <w:rPr>
          <w:rFonts w:ascii="Times New Roman" w:hAnsi="Times New Roman" w:cs="Times New Roman"/>
          <w:b/>
          <w:i w:val="0"/>
          <w:color w:val="000000"/>
          <w:sz w:val="24"/>
        </w:rPr>
        <w:t>References</w:t>
      </w:r>
    </w:p>
    <w:p>
      <w:pPr>
        <w:spacing w:before="0" w:after="0" w:line="480" w:lineRule="auto"/>
        <w:ind w:left="720" w:hanging="720"/>
      </w:pPr>
      <w:bookmarkStart w:id="0" w:name="REF_1"/>
      <w:bookmarkEnd w:id="0"/>
      <w:r>
        <w:rPr>
          <w:rFonts w:ascii="Times New Roman" w:hAnsi="Times New Roman" w:cs="Times New Roman"/>
          <w:b w:val="0"/>
          <w:i w:val="0"/>
          <w:color w:val="000000"/>
          <w:sz w:val="24"/>
        </w:rPr>
        <w:t>1.  Sormaala MJ, Niva MH, Kiuru MJ, Mattila VM, Pihlajamäki HK. Stress injuries of the calcaneus detected with magnetic resonance imaging in military recruits. J Bone Joint Surg Am. 2006;88(10):2237–2242. https://doi.org/10.2106/JBJS.E.01190</w:t>
      </w:r>
    </w:p>
    <w:p>
      <w:pPr>
        <w:spacing w:before="0" w:after="0" w:line="480" w:lineRule="auto"/>
        <w:ind w:left="720" w:hanging="720"/>
      </w:pPr>
      <w:bookmarkStart w:id="1" w:name="REF_2"/>
      <w:bookmarkEnd w:id="1"/>
      <w:r>
        <w:rPr>
          <w:rFonts w:ascii="Times New Roman" w:hAnsi="Times New Roman" w:cs="Times New Roman"/>
          <w:b w:val="0"/>
          <w:i w:val="0"/>
          <w:color w:val="000000"/>
          <w:sz w:val="24"/>
        </w:rPr>
        <w:t>2.  Kahanov L, Eberman LE, Games KE, Wasik M. Diagnosis, treatment, and rehabilitation of stress fractures in the lower extremity in runners. Open Access J Sports Med. 2015;6:87–95. https://doi.org/10.2147/OAJSM.S39512</w:t>
      </w:r>
    </w:p>
    <w:p>
      <w:pPr>
        <w:pageBreakBefore/>
        <w:spacing w:before="0" w:after="0" w:line="480" w:lineRule="auto"/>
        <w:jc w:val="center"/>
      </w:pPr>
      <w:r>
        <w:rPr>
          <w:rFonts w:ascii="Times New Roman" w:hAnsi="Times New Roman" w:cs="Times New Roman"/>
          <w:b/>
          <w:i w:val="0"/>
          <w:color w:val="000000"/>
          <w:sz w:val="24"/>
        </w:rPr>
        <w:t>Figure legends</w:t>
      </w:r>
    </w:p>
    <w:p>
      <w:pPr>
        <w:spacing w:before="0" w:after="0" w:line="480" w:lineRule="auto"/>
      </w:pPr>
      <w:r>
        <w:rPr>
          <w:rFonts w:ascii="Times New Roman" w:hAnsi="Times New Roman" w:cs="Times New Roman"/>
          <w:b w:val="0"/>
          <w:i w:val="0"/>
          <w:color w:val="000000"/>
          <w:sz w:val="24"/>
        </w:rPr>
        <w:t>Figure 1.  Sagittal short-tau inversion recovery (STIR) magnetic resonance image of the right calcaneus demonstrating a linear low-signal stress fracture line in the posterior calcaneal tuberosity with surrounding marrow edema.</w:t>
      </w:r>
    </w:p>
    <w:sectPr w:rsidR="00FC693F" w:rsidRPr="0006063C" w:rsidSect="00034616">
      <w:headerReference w:type="default" r:id="rId9"/>
      <w:pgSz w:w="12240" w:h="15840"/>
      <w:pgMar w:top="1440" w:right="1440" w:bottom="1440" w:left="1440" w:header="720" w:footer="720" w:gutter="0"/>
      <w:cols w:space="720"/>
      <w:docGrid w:linePitch="360"/>
      <w:lnNumType w:countBy="1" w:start="1" w:restart="continuous" w:distance="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before="0" w:after="0" w:line="240" w:lineRule="auto"/>
      <w:jc w:val="right"/>
    </w:pPr>
    <w:r>
      <w:rPr>
        <w:rFonts w:ascii="Times New Roman" w:hAnsi="Times New Roman" w:cs="Times New Roman"/>
        <w:i/>
        <w:color w:val="000000"/>
        <w:sz w:val="24"/>
      </w:rPr>
      <w:t>Bilateral calcaneal stress fractures in a runner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cs="Times New Roman"/>
      <w:color w:val="00000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