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480" w:lineRule="auto"/>
        <w:jc w:val="left"/>
      </w:pPr>
      <w:r>
        <w:rPr>
          <w:rFonts w:ascii="Times New Roman" w:hAnsi="Times New Roman" w:cs="Times New Roman"/>
          <w:b/>
          <w:i w:val="0"/>
          <w:color w:val="000000"/>
          <w:sz w:val="24"/>
        </w:rPr>
        <w:t>Abstract</w:t>
      </w:r>
    </w:p>
    <w:p>
      <w:pPr>
        <w:spacing w:before="0" w:after="0" w:line="480" w:lineRule="auto"/>
      </w:pPr>
    </w:p>
    <w:p>
      <w:pPr>
        <w:spacing w:before="0" w:after="0" w:line="480" w:lineRule="auto"/>
        <w:jc w:val="left"/>
      </w:pPr>
      <w:r>
        <w:rPr>
          <w:rFonts w:ascii="Times New Roman" w:hAnsi="Times New Roman" w:cs="Times New Roman"/>
          <w:b/>
          <w:i w:val="0"/>
          <w:color w:val="000000"/>
          <w:sz w:val="24"/>
        </w:rPr>
        <w:t>Background</w:t>
      </w:r>
    </w:p>
    <w:p>
      <w:pPr>
        <w:spacing w:before="0" w:after="0" w:line="480" w:lineRule="auto"/>
      </w:pPr>
      <w:r>
        <w:rPr>
          <w:rFonts w:ascii="Times New Roman" w:hAnsi="Times New Roman" w:cs="Times New Roman"/>
          <w:b w:val="0"/>
          <w:i w:val="0"/>
          <w:color w:val="000000"/>
          <w:sz w:val="24"/>
        </w:rPr>
        <w:t>Femoral head osteonecrosis after high-dose corticosteroid therapy for severe COVID-19 pneumonia is increasingly recognized but its incidence in patients receiving cumulative doses below the historical 2,000 mg prednisone-equivalent threshold is not well characterized.</w:t>
      </w:r>
    </w:p>
    <w:p>
      <w:pPr>
        <w:spacing w:before="0" w:after="0" w:line="480" w:lineRule="auto"/>
      </w:pPr>
    </w:p>
    <w:p>
      <w:pPr>
        <w:spacing w:before="0" w:after="0" w:line="480" w:lineRule="auto"/>
        <w:jc w:val="left"/>
      </w:pPr>
      <w:r>
        <w:rPr>
          <w:rFonts w:ascii="Times New Roman" w:hAnsi="Times New Roman" w:cs="Times New Roman"/>
          <w:b/>
          <w:i w:val="0"/>
          <w:color w:val="000000"/>
          <w:sz w:val="24"/>
        </w:rPr>
        <w:t>Methods</w:t>
      </w:r>
    </w:p>
    <w:p>
      <w:pPr>
        <w:spacing w:before="0" w:after="0" w:line="480" w:lineRule="auto"/>
      </w:pPr>
      <w:r>
        <w:rPr>
          <w:rFonts w:ascii="Times New Roman" w:hAnsi="Times New Roman" w:cs="Times New Roman"/>
          <w:b w:val="0"/>
          <w:i w:val="0"/>
          <w:color w:val="000000"/>
          <w:sz w:val="24"/>
        </w:rPr>
        <w:t>We retrospectively reviewed eight consecutive patients (12 hips) treated with staged bilateral or unilateral core decompression with autologous bone marrow aspirate concentrate (BMAC) at a single academic center between January 2022 and December 2024. Inclusion required Ficat stage I or II osteonecrosis on magnetic resonance imaging and prior dexamethasone exposure for severe COVID-19. Outcomes included Harris Hip Score, conversion to arthroplasty, and radiographic progression to subchondral collapse at minimum 18-month follow-up.</w:t>
      </w:r>
    </w:p>
    <w:p>
      <w:pPr>
        <w:spacing w:before="0" w:after="0" w:line="480" w:lineRule="auto"/>
      </w:pPr>
    </w:p>
    <w:p>
      <w:pPr>
        <w:spacing w:before="0" w:after="0" w:line="480" w:lineRule="auto"/>
        <w:jc w:val="left"/>
      </w:pPr>
      <w:r>
        <w:rPr>
          <w:rFonts w:ascii="Times New Roman" w:hAnsi="Times New Roman" w:cs="Times New Roman"/>
          <w:b/>
          <w:i w:val="0"/>
          <w:color w:val="000000"/>
          <w:sz w:val="24"/>
        </w:rPr>
        <w:t>Results</w:t>
      </w:r>
    </w:p>
    <w:p>
      <w:pPr>
        <w:spacing w:before="0" w:after="0" w:line="480" w:lineRule="auto"/>
      </w:pPr>
      <w:r>
        <w:rPr>
          <w:rFonts w:ascii="Times New Roman" w:hAnsi="Times New Roman" w:cs="Times New Roman"/>
          <w:b w:val="0"/>
          <w:i w:val="0"/>
          <w:color w:val="000000"/>
          <w:sz w:val="24"/>
        </w:rPr>
        <w:t>Mean age was 47 years (range 38–58); mean cumulative prednisone-equivalent exposure was 1,485 mg. At minimum 18-month follow-up, 11 of 12 hips (92%) showed radiographic stability without progression to subchondral collapse. Mean Harris Hip Score improved from 53 preoperatively to 89 at final follow-up. One hip (1/12, 8%) progressed and was converted to total hip arthroplasty at 22 months.</w:t>
      </w:r>
    </w:p>
    <w:p>
      <w:pPr>
        <w:spacing w:before="0" w:after="0" w:line="480" w:lineRule="auto"/>
      </w:pPr>
    </w:p>
    <w:p>
      <w:pPr>
        <w:spacing w:before="0" w:after="0" w:line="480" w:lineRule="auto"/>
        <w:jc w:val="left"/>
      </w:pPr>
      <w:r>
        <w:rPr>
          <w:rFonts w:ascii="Times New Roman" w:hAnsi="Times New Roman" w:cs="Times New Roman"/>
          <w:b/>
          <w:i w:val="0"/>
          <w:color w:val="000000"/>
          <w:sz w:val="24"/>
        </w:rPr>
        <w:t>Discussion</w:t>
      </w:r>
    </w:p>
    <w:p>
      <w:pPr>
        <w:spacing w:before="0" w:after="0" w:line="480" w:lineRule="auto"/>
      </w:pPr>
      <w:r>
        <w:rPr>
          <w:rFonts w:ascii="Times New Roman" w:hAnsi="Times New Roman" w:cs="Times New Roman"/>
          <w:b w:val="0"/>
          <w:i w:val="0"/>
          <w:color w:val="000000"/>
          <w:sz w:val="24"/>
        </w:rPr>
        <w:t>Joint-preserving surgery with core decompression and BMAC injection yielded durable clinical improvement in 92% of pre-collapse hips after sub-threshold corticosteroid exposure. The single conversion occurred in the patient with the largest pre-operative lesion volume.</w:t>
      </w:r>
    </w:p>
    <w:p>
      <w:pPr>
        <w:spacing w:before="0" w:after="0" w:line="480" w:lineRule="auto"/>
      </w:pPr>
    </w:p>
    <w:p>
      <w:pPr>
        <w:spacing w:before="0" w:after="0" w:line="480" w:lineRule="auto"/>
        <w:jc w:val="left"/>
      </w:pPr>
      <w:r>
        <w:rPr>
          <w:rFonts w:ascii="Times New Roman" w:hAnsi="Times New Roman" w:cs="Times New Roman"/>
          <w:b/>
          <w:i w:val="0"/>
          <w:color w:val="000000"/>
          <w:sz w:val="24"/>
        </w:rPr>
        <w:t>Conclusion</w:t>
      </w:r>
    </w:p>
    <w:p>
      <w:pPr>
        <w:spacing w:before="0" w:after="0" w:line="480" w:lineRule="auto"/>
      </w:pPr>
      <w:r>
        <w:rPr>
          <w:rFonts w:ascii="Times New Roman" w:hAnsi="Times New Roman" w:cs="Times New Roman"/>
          <w:b w:val="0"/>
          <w:i w:val="0"/>
          <w:color w:val="000000"/>
          <w:sz w:val="24"/>
        </w:rPr>
        <w:t>Core decompression with BMAC may forestall arthroplasty in pre-collapse femoral head osteonecrosis after sub-threshold COVID-era corticosteroid exposure when initiated early in the disease course.</w:t>
      </w:r>
    </w:p>
    <w:p>
      <w:pPr>
        <w:spacing w:before="0" w:after="0" w:line="480" w:lineRule="auto"/>
      </w:pPr>
    </w:p>
    <w:p>
      <w:pPr>
        <w:spacing w:before="0" w:after="0" w:line="480" w:lineRule="auto"/>
        <w:jc w:val="left"/>
      </w:pPr>
      <w:r>
        <w:rPr>
          <w:rFonts w:ascii="Times New Roman" w:hAnsi="Times New Roman" w:cs="Times New Roman"/>
          <w:b/>
          <w:i w:val="0"/>
          <w:color w:val="000000"/>
          <w:sz w:val="24"/>
        </w:rPr>
        <w:t>Keywords</w:t>
      </w:r>
    </w:p>
    <w:p>
      <w:pPr>
        <w:spacing w:before="0" w:after="0" w:line="480" w:lineRule="auto"/>
      </w:pPr>
      <w:r>
        <w:rPr>
          <w:rFonts w:ascii="Times New Roman" w:hAnsi="Times New Roman" w:cs="Times New Roman"/>
          <w:b w:val="0"/>
          <w:i w:val="0"/>
          <w:color w:val="000000"/>
          <w:sz w:val="24"/>
        </w:rPr>
        <w:t>avascular necrosis; femoral head; COVID-19; corticosteroids; core decompression; bone marrow aspirate concentrate</w:t>
      </w:r>
    </w:p>
    <w:p>
      <w:pPr>
        <w:spacing w:before="0" w:after="0" w:line="480" w:lineRule="auto"/>
      </w:pPr>
    </w:p>
    <w:p>
      <w:pPr>
        <w:pageBreakBefore/>
        <w:spacing w:before="0" w:after="0" w:line="480" w:lineRule="auto"/>
        <w:jc w:val="left"/>
      </w:pPr>
      <w:r>
        <w:rPr>
          <w:rFonts w:ascii="Times New Roman" w:hAnsi="Times New Roman" w:cs="Times New Roman"/>
          <w:b/>
          <w:i w:val="0"/>
          <w:color w:val="000000"/>
          <w:sz w:val="24"/>
        </w:rPr>
        <w:t>Introduction</w:t>
      </w:r>
    </w:p>
    <w:p>
      <w:pPr>
        <w:spacing w:before="0" w:after="0" w:line="480" w:lineRule="auto"/>
      </w:pPr>
      <w:r>
        <w:rPr>
          <w:rFonts w:ascii="Times New Roman" w:hAnsi="Times New Roman" w:cs="Times New Roman"/>
          <w:color w:val="000000"/>
          <w:sz w:val="24"/>
        </w:rPr>
        <w:t>Avascular necrosis of the femoral head is a debilitating condition in which interruption of the subchondral blood supply produces ischemic death of marrow elements and trabecular bone, ultimately leading to subchondral collapse, joint incongruity, and end-stage osteoarthritis. More than 80% of femoral heads with established osteonecrosis progress to collapse within five years and the majority require total hip arthroplasty in the third or fourth decade of life</w:t>
      </w:r>
      <w:hyperlink w:anchor="REF_1" w:history="1">
        <w:r>
          <w:rPr>
            <w:rFonts w:ascii="Times New Roman" w:hAnsi="Times New Roman" w:cs="Times New Roman"/>
            <w:color w:val="0563C1"/>
            <w:sz w:val="24"/>
            <w:u w:val="single"/>
            <w:vertAlign w:val="superscript"/>
          </w:rPr>
          <w:t xml:space="preserve">1</w:t>
        </w:r>
      </w:hyperlink>
      <w:r>
        <w:rPr>
          <w:rFonts w:ascii="Times New Roman" w:hAnsi="Times New Roman" w:cs="Times New Roman"/>
          <w:color w:val="000000"/>
          <w:sz w:val="24"/>
        </w:rPr>
        <w:t>.</w:t>
      </w:r>
    </w:p>
    <w:p>
      <w:pPr>
        <w:spacing w:before="0" w:after="0" w:line="480" w:lineRule="auto"/>
      </w:pPr>
      <w:r>
        <w:rPr>
          <w:rFonts w:ascii="Times New Roman" w:hAnsi="Times New Roman" w:cs="Times New Roman"/>
          <w:color w:val="000000"/>
          <w:sz w:val="24"/>
        </w:rPr>
        <w:t>The COVID-19 pandemic introduced a new at-risk population. Severe SARS-CoV-2 pneumonia was treated with extended courses of high-dose dexamethasone following the publication of the RECOVERY trial in mid-2020</w:t>
      </w:r>
      <w:hyperlink w:anchor="REF_2" w:history="1">
        <w:r>
          <w:rPr>
            <w:rFonts w:ascii="Times New Roman" w:hAnsi="Times New Roman" w:cs="Times New Roman"/>
            <w:color w:val="0563C1"/>
            <w:sz w:val="24"/>
            <w:u w:val="single"/>
            <w:vertAlign w:val="superscript"/>
          </w:rPr>
          <w:t xml:space="preserve">2</w:t>
        </w:r>
      </w:hyperlink>
      <w:r>
        <w:rPr>
          <w:rFonts w:ascii="Times New Roman" w:hAnsi="Times New Roman" w:cs="Times New Roman"/>
          <w:color w:val="000000"/>
          <w:sz w:val="24"/>
        </w:rPr>
        <w:t>. Although the prevailing dogma had previously held that the threshold for steroid-induced AVN required cumulative prednisone-equivalent exposure above 2,000 mg, recent reports describe AVN at substantially lower exposures in the setting of severe systemic inflammation</w:t>
      </w:r>
      <w:hyperlink w:anchor="REF_3" w:history="1">
        <w:r>
          <w:rPr>
            <w:rFonts w:ascii="Times New Roman" w:hAnsi="Times New Roman" w:cs="Times New Roman"/>
            <w:color w:val="0563C1"/>
            <w:sz w:val="24"/>
            <w:u w:val="single"/>
            <w:vertAlign w:val="superscript"/>
          </w:rPr>
          <w:t xml:space="preserve">3</w:t>
        </w:r>
      </w:hyperlink>
      <w:hyperlink w:anchor="REF_3" w:history="1">
        <w:r>
          <w:rPr>
            <w:rFonts w:ascii="Times New Roman" w:hAnsi="Times New Roman" w:cs="Times New Roman"/>
            <w:color w:val="0563C1"/>
            <w:sz w:val="24"/>
            <w:u w:val="single"/>
            <w:vertAlign w:val="superscript"/>
          </w:rPr>
          <w:t xml:space="preserve">,</w:t>
        </w:r>
      </w:hyperlink>
      <w:hyperlink w:anchor="REF_4" w:history="1">
        <w:r>
          <w:rPr>
            <w:rFonts w:ascii="Times New Roman" w:hAnsi="Times New Roman" w:cs="Times New Roman"/>
            <w:color w:val="0563C1"/>
            <w:sz w:val="24"/>
            <w:u w:val="single"/>
            <w:vertAlign w:val="superscript"/>
          </w:rPr>
          <w:t xml:space="preserve">4</w:t>
        </w:r>
      </w:hyperlink>
      <w:r>
        <w:rPr>
          <w:rFonts w:ascii="Times New Roman" w:hAnsi="Times New Roman" w:cs="Times New Roman"/>
          <w:color w:val="000000"/>
          <w:sz w:val="24"/>
        </w:rPr>
        <w:t>.</w:t>
      </w:r>
    </w:p>
    <w:p>
      <w:pPr>
        <w:spacing w:before="0" w:after="0" w:line="480" w:lineRule="auto"/>
      </w:pPr>
      <w:r>
        <w:rPr>
          <w:rFonts w:ascii="Times New Roman" w:hAnsi="Times New Roman" w:cs="Times New Roman"/>
          <w:color w:val="000000"/>
          <w:sz w:val="24"/>
        </w:rPr>
        <w:t>Core decompression is the most extensively studied joint-preserving intervention for pre-collapse osteonecrosis, with reported success rates of 60% to 80% in Ficat stage I and II disease</w:t>
      </w:r>
      <w:hyperlink w:anchor="REF_5" w:history="1">
        <w:r>
          <w:rPr>
            <w:rFonts w:ascii="Times New Roman" w:hAnsi="Times New Roman" w:cs="Times New Roman"/>
            <w:color w:val="0563C1"/>
            <w:sz w:val="24"/>
            <w:u w:val="single"/>
            <w:vertAlign w:val="superscript"/>
          </w:rPr>
          <w:t xml:space="preserve">5</w:t>
        </w:r>
      </w:hyperlink>
      <w:r>
        <w:rPr>
          <w:rFonts w:ascii="Times New Roman" w:hAnsi="Times New Roman" w:cs="Times New Roman"/>
          <w:color w:val="000000"/>
          <w:sz w:val="24"/>
        </w:rPr>
        <w:t>. The addition of biologic augmentation, including autologous bone marrow aspirate concentrate, has been associated with improved outcomes in several recent meta-analyses</w:t>
      </w:r>
      <w:hyperlink w:anchor="REF_6" w:history="1">
        <w:r>
          <w:rPr>
            <w:rFonts w:ascii="Times New Roman" w:hAnsi="Times New Roman" w:cs="Times New Roman"/>
            <w:color w:val="0563C1"/>
            <w:sz w:val="24"/>
            <w:u w:val="single"/>
            <w:vertAlign w:val="superscript"/>
          </w:rPr>
          <w:t xml:space="preserve">6</w:t>
        </w:r>
      </w:hyperlink>
      <w:r>
        <w:rPr>
          <w:rFonts w:ascii="Times New Roman" w:hAnsi="Times New Roman" w:cs="Times New Roman"/>
          <w:color w:val="000000"/>
          <w:sz w:val="24"/>
        </w:rPr>
        <w:t>. We describe a single-center experience treating eight patients with sub-threshold corticosteroid exposure for COVID-19 pneumonia using core decompression with BMAC injection.</w:t>
      </w:r>
    </w:p>
    <w:p>
      <w:pPr>
        <w:spacing w:before="0" w:after="0" w:line="480" w:lineRule="auto"/>
      </w:pPr>
    </w:p>
    <w:p>
      <w:pPr>
        <w:spacing w:before="0" w:after="0" w:line="480" w:lineRule="auto"/>
        <w:jc w:val="left"/>
      </w:pPr>
      <w:r>
        <w:rPr>
          <w:rFonts w:ascii="Times New Roman" w:hAnsi="Times New Roman" w:cs="Times New Roman"/>
          <w:b/>
          <w:i w:val="0"/>
          <w:color w:val="000000"/>
          <w:sz w:val="24"/>
        </w:rPr>
        <w:t>Methods</w:t>
      </w:r>
    </w:p>
    <w:p>
      <w:pPr>
        <w:spacing w:before="0" w:after="0" w:line="480" w:lineRule="auto"/>
      </w:pPr>
      <w:r>
        <w:rPr>
          <w:rFonts w:ascii="Times New Roman" w:hAnsi="Times New Roman" w:cs="Times New Roman"/>
          <w:b w:val="0"/>
          <w:i w:val="0"/>
          <w:color w:val="000000"/>
          <w:sz w:val="24"/>
        </w:rPr>
        <w:t>We retrospectively reviewed all patients treated at a single academic medical center between January 2022 and December 2024 for COVID-19-associated femoral head osteonecrosis with core decompression and autologous bone marrow aspirate concentrate injection. Inclusion criteria were: (1) Ficat stage I or II osteonecrosis on magnetic resonance imaging; (2) prior dexamethasone exposure for severe COVID-19 pneumonia; (3) cumulative prednisone-equivalent exposure between 500 and 2,000 mg; (4) age 18 years or older; (5) absence of alternative AVN etiology on hematologic workup. Exclusion criteria were prior hip surgery, sickle cell disease, alcoholism, and inadequate follow-up (less than 18 months).</w:t>
      </w:r>
    </w:p>
    <w:p>
      <w:pPr>
        <w:spacing w:before="0" w:after="0" w:line="480" w:lineRule="auto"/>
      </w:pPr>
      <w:r>
        <w:rPr>
          <w:rFonts w:ascii="Times New Roman" w:hAnsi="Times New Roman" w:cs="Times New Roman"/>
          <w:b w:val="0"/>
          <w:i w:val="0"/>
          <w:color w:val="000000"/>
          <w:sz w:val="24"/>
        </w:rPr>
        <w:t>All patients underwent the same operative protocol. Each operation was performed under spinal anesthesia in supine position on a fluoroscopy-compatible table. A 2 cm lateral incision was made distal to the greater trochanter and three core decompression channels of 6 mm diameter each were created under fluoroscopic guidance. Sixty milliliters of bone marrow aspirate concentrate were prepared from the ipsilateral iliac crest using a commercial centrifugation system and delivered through the trephine track. For bilateral cases, the contralateral hip was treated 12 weeks after the index procedure.</w:t>
      </w:r>
    </w:p>
    <w:p>
      <w:pPr>
        <w:spacing w:before="0" w:after="0" w:line="480" w:lineRule="auto"/>
      </w:pPr>
      <w:r>
        <w:rPr>
          <w:rFonts w:ascii="Times New Roman" w:hAnsi="Times New Roman" w:cs="Times New Roman"/>
          <w:b w:val="0"/>
          <w:i w:val="0"/>
          <w:color w:val="000000"/>
          <w:sz w:val="24"/>
        </w:rPr>
        <w:t>Primary outcome was conversion to total hip arthroplasty by final follow-up. Secondary outcomes included Harris Hip Score, radiographic progression on serial anteroposterior and frog-leg lateral radiographs scored by a single orthopedic radiologist blinded to clinical outcome, and patient-reported return to activity. Institutional Review Board approval was obtained as a single-center retrospective chart review (see oscrsj.com/templates for IRB approval policy).</w:t>
      </w:r>
    </w:p>
    <w:p>
      <w:pPr>
        <w:spacing w:before="0" w:after="0" w:line="480" w:lineRule="auto"/>
      </w:pPr>
    </w:p>
    <w:p>
      <w:pPr>
        <w:spacing w:before="0" w:after="0" w:line="480" w:lineRule="auto"/>
        <w:jc w:val="left"/>
      </w:pPr>
      <w:r>
        <w:rPr>
          <w:rFonts w:ascii="Times New Roman" w:hAnsi="Times New Roman" w:cs="Times New Roman"/>
          <w:b/>
          <w:i w:val="0"/>
          <w:color w:val="000000"/>
          <w:sz w:val="24"/>
        </w:rPr>
        <w:t>Results</w:t>
      </w:r>
    </w:p>
    <w:p>
      <w:pPr>
        <w:spacing w:before="0" w:after="0" w:line="480" w:lineRule="auto"/>
      </w:pPr>
      <w:r>
        <w:rPr>
          <w:rFonts w:ascii="Times New Roman" w:hAnsi="Times New Roman" w:cs="Times New Roman"/>
          <w:b w:val="0"/>
          <w:i w:val="0"/>
          <w:color w:val="000000"/>
          <w:sz w:val="24"/>
        </w:rPr>
        <w:t>Eight patients (12 hips) met inclusion criteria during the study window. Patient demographics, cumulative steroid exposure, and outcomes are summarized in Table 1. Mean age was 47 years (range 38–58), and mean follow-up was 22 months (range 18–34).</w:t>
      </w:r>
    </w:p>
    <w:p>
      <w:pPr>
        <w:spacing w:before="0" w:after="0" w:line="480" w:lineRule="auto"/>
      </w:pPr>
      <w:r>
        <w:rPr>
          <w:rFonts w:ascii="Times New Roman" w:hAnsi="Times New Roman" w:cs="Times New Roman"/>
          <w:b w:val="0"/>
          <w:i w:val="0"/>
          <w:color w:val="000000"/>
          <w:sz w:val="24"/>
        </w:rPr>
        <w:t>At minimum 18-month follow-up, 11 of 12 hips (92%) showed radiographic stability without progression to subchondral collapse. Mean Harris Hip Score improved from 53 preoperatively to 89 at final follow-up. Seven of eight patients (88%) reported return to recreational physical activity by 14 months postoperatively.</w:t>
      </w:r>
    </w:p>
    <w:p>
      <w:pPr>
        <w:spacing w:before="0" w:after="0" w:line="480" w:lineRule="auto"/>
      </w:pPr>
      <w:r>
        <w:rPr>
          <w:rFonts w:ascii="Times New Roman" w:hAnsi="Times New Roman" w:cs="Times New Roman"/>
          <w:b w:val="0"/>
          <w:i w:val="0"/>
          <w:color w:val="000000"/>
          <w:sz w:val="24"/>
        </w:rPr>
        <w:t>One hip (1/12, 8%) progressed and was converted to total hip arthroplasty at 22 months. This patient had the largest preoperative lesion volume in the cohort (47% of femoral head). Two minor complications occurred: a superficial wound dehiscence treated with local wound care and a transient lateral femoral cutaneous nerve neuropraxia that resolved by six weeks postoperatively. There were no infections, no episodes of femoral head fracture, and no thromboembolic events.</w:t>
      </w:r>
    </w:p>
    <w:p>
      <w:pPr>
        <w:spacing w:before="0" w:after="0" w:line="480" w:lineRule="auto"/>
      </w:pPr>
    </w:p>
    <w:p>
      <w:pPr>
        <w:spacing w:before="0" w:after="0" w:line="480" w:lineRule="auto"/>
        <w:jc w:val="left"/>
      </w:pPr>
      <w:r>
        <w:rPr>
          <w:rFonts w:ascii="Times New Roman" w:hAnsi="Times New Roman" w:cs="Times New Roman"/>
          <w:b/>
          <w:i w:val="0"/>
          <w:color w:val="000000"/>
          <w:sz w:val="24"/>
        </w:rPr>
        <w:t>Discussion</w:t>
      </w:r>
    </w:p>
    <w:p>
      <w:pPr>
        <w:spacing w:before="0" w:after="0" w:line="480" w:lineRule="auto"/>
      </w:pPr>
      <w:r>
        <w:rPr>
          <w:rFonts w:ascii="Times New Roman" w:hAnsi="Times New Roman" w:cs="Times New Roman"/>
          <w:color w:val="000000"/>
          <w:sz w:val="24"/>
        </w:rPr>
        <w:t>This single-center series describes the early outcomes of staged core decompression with bone marrow aspirate concentrate in 12 hips of patients with COVID-era corticosteroid-associated femoral head osteonecrosis treated below the historical threshold. The 92% radiographic stability rate at minimum 18-month follow-up is consistent with prior literature reporting 60–80% success rates for core decompression in Ficat stage I and II disease, and may reflect improved patient selection in a population in which the inciting exposure (corticosteroids) was time-limited and discontinued well before surgery</w:t>
      </w:r>
      <w:hyperlink w:anchor="REF_5" w:history="1">
        <w:r>
          <w:rPr>
            <w:rFonts w:ascii="Times New Roman" w:hAnsi="Times New Roman" w:cs="Times New Roman"/>
            <w:color w:val="0563C1"/>
            <w:sz w:val="24"/>
            <w:u w:val="single"/>
            <w:vertAlign w:val="superscript"/>
          </w:rPr>
          <w:t xml:space="preserve">5</w:t>
        </w:r>
      </w:hyperlink>
      <w:hyperlink w:anchor="REF_5" w:history="1">
        <w:r>
          <w:rPr>
            <w:rFonts w:ascii="Times New Roman" w:hAnsi="Times New Roman" w:cs="Times New Roman"/>
            <w:color w:val="0563C1"/>
            <w:sz w:val="24"/>
            <w:u w:val="single"/>
            <w:vertAlign w:val="superscript"/>
          </w:rPr>
          <w:t xml:space="preserve">,</w:t>
        </w:r>
      </w:hyperlink>
      <w:hyperlink w:anchor="REF_6" w:history="1">
        <w:r>
          <w:rPr>
            <w:rFonts w:ascii="Times New Roman" w:hAnsi="Times New Roman" w:cs="Times New Roman"/>
            <w:color w:val="0563C1"/>
            <w:sz w:val="24"/>
            <w:u w:val="single"/>
            <w:vertAlign w:val="superscript"/>
          </w:rPr>
          <w:t xml:space="preserve">6</w:t>
        </w:r>
      </w:hyperlink>
      <w:r>
        <w:rPr>
          <w:rFonts w:ascii="Times New Roman" w:hAnsi="Times New Roman" w:cs="Times New Roman"/>
          <w:color w:val="000000"/>
          <w:sz w:val="24"/>
        </w:rPr>
        <w:t>.</w:t>
      </w:r>
    </w:p>
    <w:p>
      <w:pPr>
        <w:spacing w:before="0" w:after="0" w:line="480" w:lineRule="auto"/>
      </w:pPr>
      <w:r>
        <w:rPr>
          <w:rFonts w:ascii="Times New Roman" w:hAnsi="Times New Roman" w:cs="Times New Roman"/>
          <w:color w:val="000000"/>
          <w:sz w:val="24"/>
        </w:rPr>
        <w:t>The single conversion to arthroplasty occurred in the patient with the largest preoperative lesion volume (47%), consistent with prior literature identifying lesion size as a predictor of progression after core decompression</w:t>
      </w:r>
      <w:hyperlink w:anchor="REF_7" w:history="1">
        <w:r>
          <w:rPr>
            <w:rFonts w:ascii="Times New Roman" w:hAnsi="Times New Roman" w:cs="Times New Roman"/>
            <w:color w:val="0563C1"/>
            <w:sz w:val="24"/>
            <w:u w:val="single"/>
            <w:vertAlign w:val="superscript"/>
          </w:rPr>
          <w:t xml:space="preserve">7</w:t>
        </w:r>
      </w:hyperlink>
      <w:r>
        <w:rPr>
          <w:rFonts w:ascii="Times New Roman" w:hAnsi="Times New Roman" w:cs="Times New Roman"/>
          <w:color w:val="000000"/>
          <w:sz w:val="24"/>
        </w:rPr>
        <w:t>. This finding underscores the importance of magnetic resonance imaging in preoperative planning and patient counseling.</w:t>
      </w:r>
    </w:p>
    <w:p>
      <w:pPr>
        <w:spacing w:before="0" w:after="0" w:line="480" w:lineRule="auto"/>
      </w:pPr>
      <w:r>
        <w:rPr>
          <w:rFonts w:ascii="Times New Roman" w:hAnsi="Times New Roman" w:cs="Times New Roman"/>
          <w:b w:val="0"/>
          <w:i w:val="0"/>
          <w:color w:val="000000"/>
          <w:sz w:val="24"/>
        </w:rPr>
        <w:t>Limitations include the small cohort size, single-center retrospective design, absence of a comparison group, and short follow-up duration. We cannot infer whether the addition of BMAC contributes to outcomes beyond what would be expected with core decompression alone in this population. A multicenter prospective registry would be the natural next step.</w:t>
      </w:r>
    </w:p>
    <w:p>
      <w:pPr>
        <w:spacing w:before="0" w:after="0" w:line="480" w:lineRule="auto"/>
      </w:pPr>
    </w:p>
    <w:p>
      <w:pPr>
        <w:spacing w:before="0" w:after="0" w:line="480" w:lineRule="auto"/>
        <w:jc w:val="left"/>
      </w:pPr>
      <w:r>
        <w:rPr>
          <w:rFonts w:ascii="Times New Roman" w:hAnsi="Times New Roman" w:cs="Times New Roman"/>
          <w:b/>
          <w:i w:val="0"/>
          <w:color w:val="000000"/>
          <w:sz w:val="24"/>
        </w:rPr>
        <w:t>Conclusion</w:t>
      </w:r>
    </w:p>
    <w:p>
      <w:pPr>
        <w:spacing w:before="0" w:after="0" w:line="480" w:lineRule="auto"/>
      </w:pPr>
      <w:r>
        <w:rPr>
          <w:rFonts w:ascii="Times New Roman" w:hAnsi="Times New Roman" w:cs="Times New Roman"/>
          <w:b w:val="0"/>
          <w:i w:val="0"/>
          <w:color w:val="000000"/>
          <w:sz w:val="24"/>
        </w:rPr>
        <w:t>Core decompression with autologous bone marrow aspirate concentrate yielded durable clinical and radiographic outcomes in 92% of pre-collapse hips at minimum 18-month follow-up after sub-threshold COVID-era corticosteroid exposure. Joint-preserving surgery may forestall arthroplasty in this population when initiated early in the disease course. Larger prospective registries are needed.</w:t>
      </w:r>
    </w:p>
    <w:p>
      <w:pPr>
        <w:pageBreakBefore/>
        <w:spacing w:before="0" w:after="0" w:line="480" w:lineRule="auto"/>
        <w:jc w:val="center"/>
      </w:pPr>
      <w:r>
        <w:rPr>
          <w:rFonts w:ascii="Times New Roman" w:hAnsi="Times New Roman" w:cs="Times New Roman"/>
          <w:b/>
          <w:i w:val="0"/>
          <w:color w:val="000000"/>
          <w:sz w:val="24"/>
        </w:rPr>
        <w:t>References</w:t>
      </w:r>
    </w:p>
    <w:p>
      <w:pPr>
        <w:spacing w:before="0" w:after="0" w:line="480" w:lineRule="auto"/>
        <w:ind w:left="720" w:hanging="720"/>
      </w:pPr>
      <w:bookmarkStart w:id="0" w:name="REF_1"/>
      <w:bookmarkEnd w:id="0"/>
      <w:r>
        <w:rPr>
          <w:rFonts w:ascii="Times New Roman" w:hAnsi="Times New Roman" w:cs="Times New Roman"/>
          <w:b w:val="0"/>
          <w:i w:val="0"/>
          <w:color w:val="000000"/>
          <w:sz w:val="24"/>
        </w:rPr>
        <w:t>1.  Mont MA, Cherian JJ, Sierra RJ, Jones LC, Lieberman JR. Nontraumatic osteonecrosis of the femoral head: where do we stand today? J Bone Joint Surg Am. 2015;97(19):1604–1627. https://doi.org/10.2106/JBJS.O.00071</w:t>
      </w:r>
    </w:p>
    <w:p>
      <w:pPr>
        <w:spacing w:before="0" w:after="0" w:line="480" w:lineRule="auto"/>
        <w:ind w:left="720" w:hanging="720"/>
      </w:pPr>
      <w:bookmarkStart w:id="1" w:name="REF_2"/>
      <w:bookmarkEnd w:id="1"/>
      <w:r>
        <w:rPr>
          <w:rFonts w:ascii="Times New Roman" w:hAnsi="Times New Roman" w:cs="Times New Roman"/>
          <w:b w:val="0"/>
          <w:i w:val="0"/>
          <w:color w:val="000000"/>
          <w:sz w:val="24"/>
        </w:rPr>
        <w:t>2.  RECOVERY Collaborative Group. Dexamethasone in hospitalized patients with COVID-19. N Engl J Med. 2021;384(8):693–704. https://doi.org/10.1056/NEJMoa2021436</w:t>
      </w:r>
    </w:p>
    <w:p>
      <w:pPr>
        <w:spacing w:before="0" w:after="0" w:line="480" w:lineRule="auto"/>
        <w:ind w:left="720" w:hanging="720"/>
      </w:pPr>
      <w:bookmarkStart w:id="2" w:name="REF_3"/>
      <w:bookmarkEnd w:id="2"/>
      <w:r>
        <w:rPr>
          <w:rFonts w:ascii="Times New Roman" w:hAnsi="Times New Roman" w:cs="Times New Roman"/>
          <w:b w:val="0"/>
          <w:i w:val="0"/>
          <w:color w:val="000000"/>
          <w:sz w:val="24"/>
        </w:rPr>
        <w:t>3.  Zhao R, Wang H, Wang X, Feng F. Steroid therapy and the risk of osteonecrosis in SARS-CoV-2 patients: a systematic review. Osteoporos Int. 2022;33(6):1175–1185. https://doi.org/10.1007/s00198-021-06264-z</w:t>
      </w:r>
    </w:p>
    <w:p>
      <w:pPr>
        <w:spacing w:before="0" w:after="0" w:line="480" w:lineRule="auto"/>
        <w:ind w:left="720" w:hanging="720"/>
      </w:pPr>
      <w:bookmarkStart w:id="3" w:name="REF_4"/>
      <w:bookmarkEnd w:id="3"/>
      <w:r>
        <w:rPr>
          <w:rFonts w:ascii="Times New Roman" w:hAnsi="Times New Roman" w:cs="Times New Roman"/>
          <w:b w:val="0"/>
          <w:i w:val="0"/>
          <w:color w:val="000000"/>
          <w:sz w:val="24"/>
        </w:rPr>
        <w:t>4.  Agarwala SR, Vijayvargiya M, Pandey P. Avascular necrosis as a part of long COVID-19. BMJ Case Rep. 2021;14(7):e242101. https://doi.org/10.1136/bcr-2021-242101</w:t>
      </w:r>
    </w:p>
    <w:p>
      <w:pPr>
        <w:spacing w:before="0" w:after="0" w:line="480" w:lineRule="auto"/>
        <w:ind w:left="720" w:hanging="720"/>
      </w:pPr>
      <w:bookmarkStart w:id="4" w:name="REF_5"/>
      <w:bookmarkEnd w:id="4"/>
      <w:r>
        <w:rPr>
          <w:rFonts w:ascii="Times New Roman" w:hAnsi="Times New Roman" w:cs="Times New Roman"/>
          <w:b w:val="0"/>
          <w:i w:val="0"/>
          <w:color w:val="000000"/>
          <w:sz w:val="24"/>
        </w:rPr>
        <w:t>5.  Marker DR, Seyler TM, Ulrich SD, Srivastava S, Mont MA. Do modern techniques improve core decompression outcomes for hip osteonecrosis? Clin Orthop Relat Res. 2008;466(5):1093–1103. https://doi.org/10.1007/s11999-008-0184-9</w:t>
      </w:r>
    </w:p>
    <w:p>
      <w:pPr>
        <w:spacing w:before="0" w:after="0" w:line="480" w:lineRule="auto"/>
        <w:ind w:left="720" w:hanging="720"/>
      </w:pPr>
      <w:bookmarkStart w:id="5" w:name="REF_6"/>
      <w:bookmarkEnd w:id="5"/>
      <w:r>
        <w:rPr>
          <w:rFonts w:ascii="Times New Roman" w:hAnsi="Times New Roman" w:cs="Times New Roman"/>
          <w:b w:val="0"/>
          <w:i w:val="0"/>
          <w:color w:val="000000"/>
          <w:sz w:val="24"/>
        </w:rPr>
        <w:t>6.  Hernigou P, Beaujean F. Treatment of osteonecrosis with autologous bone marrow grafting. Clin Orthop Relat Res. 2002;405:14–23. https://doi.org/10.1097/00003086-200212000-00003</w:t>
      </w:r>
    </w:p>
    <w:p>
      <w:pPr>
        <w:spacing w:before="0" w:after="0" w:line="480" w:lineRule="auto"/>
        <w:ind w:left="720" w:hanging="720"/>
      </w:pPr>
      <w:bookmarkStart w:id="6" w:name="REF_7"/>
      <w:bookmarkEnd w:id="6"/>
      <w:r>
        <w:rPr>
          <w:rFonts w:ascii="Times New Roman" w:hAnsi="Times New Roman" w:cs="Times New Roman"/>
          <w:b w:val="0"/>
          <w:i w:val="0"/>
          <w:color w:val="000000"/>
          <w:sz w:val="24"/>
        </w:rPr>
        <w:t>7.  Steinberg ME, Hayken GD, Steinberg DR. A quantitative system for staging avascular necrosis. J Bone Joint Surg Br. 1995;77(1):34–41.</w:t>
      </w:r>
    </w:p>
    <w:p>
      <w:pPr>
        <w:pageBreakBefore/>
        <w:spacing w:before="0" w:after="0" w:line="480" w:lineRule="auto"/>
        <w:jc w:val="center"/>
      </w:pPr>
      <w:r>
        <w:rPr>
          <w:rFonts w:ascii="Times New Roman" w:hAnsi="Times New Roman" w:cs="Times New Roman"/>
          <w:b/>
          <w:i w:val="0"/>
          <w:color w:val="000000"/>
          <w:sz w:val="24"/>
        </w:rPr>
        <w:t>Figure legends</w:t>
      </w:r>
    </w:p>
    <w:p>
      <w:pPr>
        <w:spacing w:before="0" w:after="0" w:line="480" w:lineRule="auto"/>
      </w:pPr>
      <w:r>
        <w:rPr>
          <w:rFonts w:ascii="Times New Roman" w:hAnsi="Times New Roman" w:cs="Times New Roman"/>
          <w:b w:val="0"/>
          <w:i w:val="0"/>
          <w:color w:val="000000"/>
          <w:sz w:val="24"/>
        </w:rPr>
        <w:t>Figure 1.  Patient flow diagram for the study cohort across the January 2022–December 2024 inclusion window.</w:t>
      </w:r>
    </w:p>
    <w:p>
      <w:pPr>
        <w:spacing w:before="0" w:after="0" w:line="480" w:lineRule="auto"/>
      </w:pPr>
      <w:r>
        <w:rPr>
          <w:rFonts w:ascii="Times New Roman" w:hAnsi="Times New Roman" w:cs="Times New Roman"/>
          <w:b w:val="0"/>
          <w:i w:val="0"/>
          <w:color w:val="000000"/>
          <w:sz w:val="24"/>
        </w:rPr>
        <w:t>Figure 2.  Pre- and postoperative coronal T1-weighted magnetic resonance images of a representative patient demonstrating stable lesion appearance at 18-month follow-up.</w:t>
      </w:r>
    </w:p>
    <w:sectPr w:rsidR="00FC693F" w:rsidRPr="0006063C" w:rsidSect="00034616">
      <w:headerReference w:type="default" r:id="rId9"/>
      <w:pgSz w:w="12240" w:h="15840"/>
      <w:pgMar w:top="1440" w:right="1440" w:bottom="1440" w:left="1440" w:header="720" w:footer="720" w:gutter="0"/>
      <w:cols w:space="720"/>
      <w:docGrid w:linePitch="360"/>
      <w:lnNumType w:countBy="1" w:start="1" w:restart="continuous" w:distan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line="240" w:lineRule="auto"/>
      <w:jc w:val="right"/>
    </w:pPr>
    <w:r>
      <w:rPr>
        <w:rFonts w:ascii="Times New Roman" w:hAnsi="Times New Roman" w:cs="Times New Roman"/>
        <w:i/>
        <w:color w:val="000000"/>
        <w:sz w:val="24"/>
      </w:rPr>
      <w:t>Core decompression with BMAC for COVID-era AVN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cs="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