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480" w:lineRule="auto"/>
        <w:jc w:val="left"/>
      </w:pPr>
      <w:r>
        <w:rPr>
          <w:rFonts w:ascii="Times New Roman" w:hAnsi="Times New Roman" w:cs="Times New Roman"/>
          <w:b/>
          <w:i w:val="0"/>
          <w:color w:val="000000"/>
          <w:sz w:val="24"/>
        </w:rPr>
        <w:t>Abstract</w:t>
      </w:r>
    </w:p>
    <w:p>
      <w:pPr>
        <w:spacing w:before="0" w:after="0" w:line="480" w:lineRule="auto"/>
      </w:pPr>
    </w:p>
    <w:p>
      <w:pPr>
        <w:spacing w:before="0" w:after="0" w:line="480" w:lineRule="auto"/>
        <w:jc w:val="left"/>
      </w:pPr>
      <w:r>
        <w:rPr>
          <w:rFonts w:ascii="Times New Roman" w:hAnsi="Times New Roman" w:cs="Times New Roman"/>
          <w:b/>
          <w:i w:val="0"/>
          <w:color w:val="000000"/>
          <w:sz w:val="24"/>
        </w:rPr>
        <w:t>Introduction</w:t>
      </w:r>
    </w:p>
    <w:p>
      <w:pPr>
        <w:spacing w:before="0" w:after="0" w:line="480" w:lineRule="auto"/>
      </w:pPr>
      <w:r>
        <w:rPr>
          <w:rFonts w:ascii="Times New Roman" w:hAnsi="Times New Roman" w:cs="Times New Roman"/>
          <w:b w:val="0"/>
          <w:i w:val="0"/>
          <w:color w:val="000000"/>
          <w:sz w:val="24"/>
        </w:rPr>
        <w:t>Iatrogenic median nerve injury after closed reduction and percutaneous pinning of pediatric supracondylar humerus fractures is uncommon and has been reported predominantly in association with medial-entry K-wires. Isolated lateral-entry-wire-mediated median nerve injury is rarer still.</w:t>
      </w:r>
    </w:p>
    <w:p>
      <w:pPr>
        <w:spacing w:before="0" w:after="0" w:line="480" w:lineRule="auto"/>
      </w:pPr>
    </w:p>
    <w:p>
      <w:pPr>
        <w:spacing w:before="0" w:after="0" w:line="480" w:lineRule="auto"/>
        <w:jc w:val="left"/>
      </w:pPr>
      <w:r>
        <w:rPr>
          <w:rFonts w:ascii="Times New Roman" w:hAnsi="Times New Roman" w:cs="Times New Roman"/>
          <w:b/>
          <w:i w:val="0"/>
          <w:color w:val="000000"/>
          <w:sz w:val="24"/>
        </w:rPr>
        <w:t>Case presentation</w:t>
      </w:r>
    </w:p>
    <w:p>
      <w:pPr>
        <w:spacing w:before="0" w:after="0" w:line="480" w:lineRule="auto"/>
      </w:pPr>
      <w:r>
        <w:rPr>
          <w:rFonts w:ascii="Times New Roman" w:hAnsi="Times New Roman" w:cs="Times New Roman"/>
          <w:b w:val="0"/>
          <w:i w:val="0"/>
          <w:color w:val="000000"/>
          <w:sz w:val="24"/>
        </w:rPr>
        <w:t>A 7-year-old previously healthy boy presented with a Gartland type III supracondylar humerus fracture without preoperative neurovascular deficit. Closed reduction and percutaneous pinning with three lateral-entry K-wires was performed; the postoperative bedside examination on day 1 demonstrated a complete sensorimotor median nerve palsy. High-resolution ultrasound localized the deficit to a kinked median nerve coursing across the most medial of the lateral-entry K-wires. The patient was returned to the operating theater on day 2 for wire removal, nerve decompression, and revision pinning. Full motor and sensory recovery was achieved by 16 weeks postoperatively.</w:t>
      </w:r>
    </w:p>
    <w:p>
      <w:pPr>
        <w:spacing w:before="0" w:after="0" w:line="480" w:lineRule="auto"/>
      </w:pPr>
    </w:p>
    <w:p>
      <w:pPr>
        <w:spacing w:before="0" w:after="0" w:line="480" w:lineRule="auto"/>
        <w:jc w:val="left"/>
      </w:pPr>
      <w:r>
        <w:rPr>
          <w:rFonts w:ascii="Times New Roman" w:hAnsi="Times New Roman" w:cs="Times New Roman"/>
          <w:b/>
          <w:i w:val="0"/>
          <w:color w:val="000000"/>
          <w:sz w:val="24"/>
        </w:rPr>
        <w:t>Discussion</w:t>
      </w:r>
    </w:p>
    <w:p>
      <w:pPr>
        <w:spacing w:before="0" w:after="0" w:line="480" w:lineRule="auto"/>
      </w:pPr>
      <w:r>
        <w:rPr>
          <w:rFonts w:ascii="Times New Roman" w:hAnsi="Times New Roman" w:cs="Times New Roman"/>
          <w:b w:val="0"/>
          <w:i w:val="0"/>
          <w:color w:val="000000"/>
          <w:sz w:val="24"/>
        </w:rPr>
        <w:t>This case illustrates that iatrogenic median nerve injury can occur with lateral-entry K-wires when the most medial of multiple lateral wires is advanced steeply across the medial column. Repeated postoperative neurovascular examination — including a documented exam in the post-anesthesia care unit — is essential. High-resolution ultrasound was the most informative imaging modality for localizing the lesion preoperatively.</w:t>
      </w:r>
    </w:p>
    <w:p>
      <w:pPr>
        <w:spacing w:before="0" w:after="0" w:line="480" w:lineRule="auto"/>
      </w:pPr>
    </w:p>
    <w:p>
      <w:pPr>
        <w:spacing w:before="0" w:after="0" w:line="480" w:lineRule="auto"/>
        <w:jc w:val="left"/>
      </w:pPr>
      <w:r>
        <w:rPr>
          <w:rFonts w:ascii="Times New Roman" w:hAnsi="Times New Roman" w:cs="Times New Roman"/>
          <w:b/>
          <w:i w:val="0"/>
          <w:color w:val="000000"/>
          <w:sz w:val="24"/>
        </w:rPr>
        <w:t>Conclusion</w:t>
      </w:r>
    </w:p>
    <w:p>
      <w:pPr>
        <w:spacing w:before="0" w:after="0" w:line="480" w:lineRule="auto"/>
      </w:pPr>
      <w:r>
        <w:rPr>
          <w:rFonts w:ascii="Times New Roman" w:hAnsi="Times New Roman" w:cs="Times New Roman"/>
          <w:b w:val="0"/>
          <w:i w:val="0"/>
          <w:color w:val="000000"/>
          <w:sz w:val="24"/>
        </w:rPr>
        <w:t>Iatrogenic median nerve injury after pediatric supracondylar pinning is uncommon, can occur with lateral-entry as well as medial-entry K-wires, and is recoverable when recognized early.</w:t>
      </w:r>
    </w:p>
    <w:p>
      <w:pPr>
        <w:spacing w:before="0" w:after="0" w:line="480" w:lineRule="auto"/>
      </w:pPr>
    </w:p>
    <w:p>
      <w:pPr>
        <w:spacing w:before="0" w:after="0" w:line="480" w:lineRule="auto"/>
        <w:jc w:val="left"/>
      </w:pPr>
      <w:r>
        <w:rPr>
          <w:rFonts w:ascii="Times New Roman" w:hAnsi="Times New Roman" w:cs="Times New Roman"/>
          <w:b/>
          <w:i w:val="0"/>
          <w:color w:val="000000"/>
          <w:sz w:val="24"/>
        </w:rPr>
        <w:t>Keywords</w:t>
      </w:r>
    </w:p>
    <w:p>
      <w:pPr>
        <w:spacing w:before="0" w:after="0" w:line="480" w:lineRule="auto"/>
      </w:pPr>
      <w:r>
        <w:rPr>
          <w:rFonts w:ascii="Times New Roman" w:hAnsi="Times New Roman" w:cs="Times New Roman"/>
          <w:b w:val="0"/>
          <w:i w:val="0"/>
          <w:color w:val="000000"/>
          <w:sz w:val="24"/>
        </w:rPr>
        <w:t>supracondylar humerus fracture; median nerve; iatrogenic injury; pediatric orthopedics; percutaneous pinning</w:t>
      </w:r>
    </w:p>
    <w:p>
      <w:pPr>
        <w:spacing w:before="0" w:after="0" w:line="480" w:lineRule="auto"/>
      </w:pPr>
    </w:p>
    <w:p>
      <w:pPr>
        <w:pageBreakBefore/>
        <w:spacing w:before="0" w:after="0" w:line="480" w:lineRule="auto"/>
        <w:jc w:val="left"/>
      </w:pPr>
      <w:r>
        <w:rPr>
          <w:rFonts w:ascii="Times New Roman" w:hAnsi="Times New Roman" w:cs="Times New Roman"/>
          <w:b/>
          <w:i w:val="0"/>
          <w:color w:val="000000"/>
          <w:sz w:val="24"/>
        </w:rPr>
        <w:t>Introduction</w:t>
      </w:r>
    </w:p>
    <w:p>
      <w:pPr>
        <w:spacing w:before="0" w:after="0" w:line="480" w:lineRule="auto"/>
      </w:pPr>
      <w:r>
        <w:rPr>
          <w:rFonts w:ascii="Times New Roman" w:hAnsi="Times New Roman" w:cs="Times New Roman"/>
          <w:color w:val="000000"/>
          <w:sz w:val="24"/>
        </w:rPr>
        <w:t>Supracondylar humerus fractures are the most common elbow fracture in children, accounting for approximately 60–70% of all pediatric elbow fractures and most often occurring between the ages of five and seven years</w:t>
      </w:r>
      <w:hyperlink w:anchor="REF_1" w:history="1">
        <w:r>
          <w:rPr>
            <w:rFonts w:ascii="Times New Roman" w:hAnsi="Times New Roman" w:cs="Times New Roman"/>
            <w:color w:val="0563C1"/>
            <w:sz w:val="24"/>
            <w:u w:val="single"/>
            <w:vertAlign w:val="superscript"/>
          </w:rPr>
          <w:t xml:space="preserve">1</w:t>
        </w:r>
      </w:hyperlink>
      <w:r>
        <w:rPr>
          <w:rFonts w:ascii="Times New Roman" w:hAnsi="Times New Roman" w:cs="Times New Roman"/>
          <w:color w:val="000000"/>
          <w:sz w:val="24"/>
        </w:rPr>
        <w:t>. Closed reduction and percutaneous pinning is the standard of care for displaced (Gartland type II and III) extension-type fractures and yields excellent radiographic and functional outcomes when performed with attention to wire trajectory and stability</w:t>
      </w:r>
      <w:hyperlink w:anchor="REF_2" w:history="1">
        <w:r>
          <w:rPr>
            <w:rFonts w:ascii="Times New Roman" w:hAnsi="Times New Roman" w:cs="Times New Roman"/>
            <w:color w:val="0563C1"/>
            <w:sz w:val="24"/>
            <w:u w:val="single"/>
            <w:vertAlign w:val="superscript"/>
          </w:rPr>
          <w:t xml:space="preserve">2</w:t>
        </w:r>
      </w:hyperlink>
      <w:hyperlink w:anchor="REF_2" w:history="1">
        <w:r>
          <w:rPr>
            <w:rFonts w:ascii="Times New Roman" w:hAnsi="Times New Roman" w:cs="Times New Roman"/>
            <w:color w:val="0563C1"/>
            <w:sz w:val="24"/>
            <w:u w:val="single"/>
            <w:vertAlign w:val="superscript"/>
          </w:rPr>
          <w:t xml:space="preserve">,</w:t>
        </w:r>
      </w:hyperlink>
      <w:hyperlink w:anchor="REF_3" w:history="1">
        <w:r>
          <w:rPr>
            <w:rFonts w:ascii="Times New Roman" w:hAnsi="Times New Roman" w:cs="Times New Roman"/>
            <w:color w:val="0563C1"/>
            <w:sz w:val="24"/>
            <w:u w:val="single"/>
            <w:vertAlign w:val="superscript"/>
          </w:rPr>
          <w:t xml:space="preserve">3</w:t>
        </w:r>
      </w:hyperlink>
      <w:r>
        <w:rPr>
          <w:rFonts w:ascii="Times New Roman" w:hAnsi="Times New Roman" w:cs="Times New Roman"/>
          <w:color w:val="000000"/>
          <w:sz w:val="24"/>
        </w:rPr>
        <w:t>.</w:t>
      </w:r>
    </w:p>
    <w:p>
      <w:pPr>
        <w:spacing w:before="0" w:after="0" w:line="480" w:lineRule="auto"/>
      </w:pPr>
      <w:r>
        <w:rPr>
          <w:rFonts w:ascii="Times New Roman" w:hAnsi="Times New Roman" w:cs="Times New Roman"/>
          <w:color w:val="000000"/>
          <w:sz w:val="24"/>
        </w:rPr>
        <w:t>Iatrogenic neurovascular injury is a recognized but uncommon complication. The reported incidence of post-pinning ulnar nerve injury attributable to medial-entry K-wires ranges from 1% to 5% in modern series</w:t>
      </w:r>
      <w:hyperlink w:anchor="REF_4" w:history="1">
        <w:r>
          <w:rPr>
            <w:rFonts w:ascii="Times New Roman" w:hAnsi="Times New Roman" w:cs="Times New Roman"/>
            <w:color w:val="0563C1"/>
            <w:sz w:val="24"/>
            <w:u w:val="single"/>
            <w:vertAlign w:val="superscript"/>
          </w:rPr>
          <w:t xml:space="preserve">4</w:t>
        </w:r>
      </w:hyperlink>
      <w:r>
        <w:rPr>
          <w:rFonts w:ascii="Times New Roman" w:hAnsi="Times New Roman" w:cs="Times New Roman"/>
          <w:color w:val="000000"/>
          <w:sz w:val="24"/>
        </w:rPr>
        <w:t>. Median nerve injury is rarer still and has been reported predominantly in association with anterior interosseous branch involvement after preoperative neurologic compromise; iatrogenic isolated median nerve injury attributable to a percutaneous K-wire has been described only in case reports</w:t>
      </w:r>
      <w:hyperlink w:anchor="REF_5" w:history="1">
        <w:r>
          <w:rPr>
            <w:rFonts w:ascii="Times New Roman" w:hAnsi="Times New Roman" w:cs="Times New Roman"/>
            <w:color w:val="0563C1"/>
            <w:sz w:val="24"/>
            <w:u w:val="single"/>
            <w:vertAlign w:val="superscript"/>
          </w:rPr>
          <w:t xml:space="preserve">5</w:t>
        </w:r>
      </w:hyperlink>
      <w:r>
        <w:rPr>
          <w:rFonts w:ascii="Times New Roman" w:hAnsi="Times New Roman" w:cs="Times New Roman"/>
          <w:color w:val="000000"/>
          <w:sz w:val="24"/>
        </w:rPr>
        <w:t>.</w:t>
      </w:r>
    </w:p>
    <w:p>
      <w:pPr>
        <w:spacing w:before="0" w:after="0" w:line="480" w:lineRule="auto"/>
      </w:pPr>
      <w:r>
        <w:rPr>
          <w:rFonts w:ascii="Times New Roman" w:hAnsi="Times New Roman" w:cs="Times New Roman"/>
          <w:b w:val="0"/>
          <w:i w:val="0"/>
          <w:color w:val="000000"/>
          <w:sz w:val="24"/>
        </w:rPr>
        <w:t>We describe a case of complete iatrogenic median nerve palsy in a 7-year-old boy following closed reduction and percutaneous pinning of a Gartland type III supracondylar humerus fracture, with full motor and sensory recovery after wire removal and nerve decompression.</w:t>
      </w:r>
    </w:p>
    <w:p>
      <w:pPr>
        <w:spacing w:before="0" w:after="0" w:line="480" w:lineRule="auto"/>
      </w:pPr>
    </w:p>
    <w:p>
      <w:pPr>
        <w:spacing w:before="0" w:after="0" w:line="480" w:lineRule="auto"/>
        <w:jc w:val="left"/>
      </w:pPr>
      <w:r>
        <w:rPr>
          <w:rFonts w:ascii="Times New Roman" w:hAnsi="Times New Roman" w:cs="Times New Roman"/>
          <w:b/>
          <w:i w:val="0"/>
          <w:color w:val="000000"/>
          <w:sz w:val="24"/>
        </w:rPr>
        <w:t>Case presentation</w:t>
      </w:r>
    </w:p>
    <w:p>
      <w:pPr>
        <w:spacing w:before="0" w:after="0" w:line="480" w:lineRule="auto"/>
      </w:pPr>
      <w:r>
        <w:rPr>
          <w:rFonts w:ascii="Times New Roman" w:hAnsi="Times New Roman" w:cs="Times New Roman"/>
          <w:b w:val="0"/>
          <w:i w:val="0"/>
          <w:color w:val="000000"/>
          <w:sz w:val="24"/>
        </w:rPr>
        <w:t>A 7-year-old previously healthy right-hand-dominant boy presented to the emergency department after a fall from monkey bars onto an outstretched right arm, with immediate pain and inability to use the right elbow. Initial neurovascular examination demonstrated intact radial, median, and ulnar nerve function with palpable radial pulse and well-perfused fingertips. Anteroposterior and lateral radiographs demonstrated a Gartland type III extension-type supracondylar humerus fracture with complete posteromedial displacement of the distal fragment (Figure 1). No associated upper-extremity injury was identified on a complete trauma series.</w:t>
      </w:r>
    </w:p>
    <w:p>
      <w:pPr>
        <w:spacing w:before="0" w:after="0" w:line="480" w:lineRule="auto"/>
      </w:pPr>
      <w:r>
        <w:rPr>
          <w:rFonts w:ascii="Times New Roman" w:hAnsi="Times New Roman" w:cs="Times New Roman"/>
          <w:b w:val="0"/>
          <w:i w:val="0"/>
          <w:color w:val="000000"/>
          <w:sz w:val="24"/>
        </w:rPr>
        <w:t>The patient was taken to the operating theater within four hours of presentation. Closed reduction was achieved on the first attempt under fluoroscopic guidance, and the fracture was stabilized with three lateral-entry K-wires (two divergent lateral, one capitellar). The construct was assessed for stability under image intensification and the elbow was immobilized in a long-arm posterior splint at 70° of flexion. Estimated blood loss was less than 20 mL; tourniquet time was 32 minutes.</w:t>
      </w:r>
    </w:p>
    <w:p>
      <w:pPr>
        <w:spacing w:before="0" w:after="0" w:line="480" w:lineRule="auto"/>
      </w:pPr>
      <w:r>
        <w:rPr>
          <w:rFonts w:ascii="Times New Roman" w:hAnsi="Times New Roman" w:cs="Times New Roman"/>
          <w:b w:val="0"/>
          <w:i w:val="0"/>
          <w:color w:val="000000"/>
          <w:sz w:val="24"/>
        </w:rPr>
        <w:t>On postoperative day 1, the patient was noted to have a new complete sensorimotor median nerve deficit in the right hand. High-resolution ultrasound performed the same day localized the deficit to a kinked median nerve passing across the most medial of the three lateral-entry K-wires. The patient was returned to the operating theater on postoperative day 2 for wire removal, nerve decompression, and revision pinning. The clinical course is summarized in Table 1.</w:t>
      </w:r>
    </w:p>
    <w:p>
      <w:pPr>
        <w:spacing w:before="0" w:after="0" w:line="480" w:lineRule="auto"/>
      </w:pPr>
      <w:r>
        <w:rPr>
          <w:rFonts w:ascii="Times New Roman" w:hAnsi="Times New Roman" w:cs="Times New Roman"/>
          <w:b w:val="0"/>
          <w:i w:val="0"/>
          <w:color w:val="000000"/>
          <w:sz w:val="24"/>
        </w:rPr>
        <w:t>The patient was permitted toe-touch weight-bearing for six weeks postoperatively, progressing to full weight-bearing by ten weeks. He completed an outpatient physical therapy program. At 16-week follow-up, he had full active range of motion of the elbow and a fully recovered median nerve examination, and he had returned to age-appropriate activity. Surveillance examination at 12 months showed no residual deficit.</w:t>
      </w:r>
    </w:p>
    <w:p>
      <w:pPr>
        <w:spacing w:before="0" w:after="0" w:line="480" w:lineRule="auto"/>
      </w:pPr>
      <w:r>
        <w:rPr>
          <w:rFonts w:ascii="Times New Roman" w:hAnsi="Times New Roman" w:cs="Times New Roman"/>
          <w:b w:val="0"/>
          <w:i w:val="0"/>
          <w:color w:val="000000"/>
          <w:sz w:val="24"/>
        </w:rPr>
        <w:t>Written informed consent for publication of this case report and accompanying images was obtained from the parent and legal guardian of the minor patient, in accordance with OSCRSJ patient consent policy (see oscrsj.com/templates).</w:t>
      </w:r>
    </w:p>
    <w:p>
      <w:pPr>
        <w:spacing w:before="0" w:after="0" w:line="480" w:lineRule="auto"/>
      </w:pPr>
    </w:p>
    <w:p>
      <w:pPr>
        <w:spacing w:before="0" w:after="0" w:line="480" w:lineRule="auto"/>
        <w:jc w:val="left"/>
      </w:pPr>
      <w:r>
        <w:rPr>
          <w:rFonts w:ascii="Times New Roman" w:hAnsi="Times New Roman" w:cs="Times New Roman"/>
          <w:b/>
          <w:i w:val="0"/>
          <w:color w:val="000000"/>
          <w:sz w:val="24"/>
        </w:rPr>
        <w:t>Discussion</w:t>
      </w:r>
    </w:p>
    <w:p>
      <w:pPr>
        <w:spacing w:before="0" w:after="0" w:line="480" w:lineRule="auto"/>
      </w:pPr>
      <w:r>
        <w:rPr>
          <w:rFonts w:ascii="Times New Roman" w:hAnsi="Times New Roman" w:cs="Times New Roman"/>
          <w:color w:val="000000"/>
          <w:sz w:val="24"/>
        </w:rPr>
        <w:t>Iatrogenic median nerve injury after closed reduction and percutaneous pinning of pediatric supracondylar humerus fractures is rare. In the largest single-institution series to date, Brown and colleagues identified six iatrogenic nerve injuries among 1,242 pinned supracondylar fractures (0.5%); two of these involved the median nerve, and both were associated with medial-entry K-wires</w:t>
      </w:r>
      <w:hyperlink w:anchor="REF_6" w:history="1">
        <w:r>
          <w:rPr>
            <w:rFonts w:ascii="Times New Roman" w:hAnsi="Times New Roman" w:cs="Times New Roman"/>
            <w:color w:val="0563C1"/>
            <w:sz w:val="24"/>
            <w:u w:val="single"/>
            <w:vertAlign w:val="superscript"/>
          </w:rPr>
          <w:t xml:space="preserve">6</w:t>
        </w:r>
      </w:hyperlink>
      <w:r>
        <w:rPr>
          <w:rFonts w:ascii="Times New Roman" w:hAnsi="Times New Roman" w:cs="Times New Roman"/>
          <w:color w:val="000000"/>
          <w:sz w:val="24"/>
        </w:rPr>
        <w:t>. Our case is unusual in that the offending wire was placed laterally — highlighting that median nerve compromise is not exclusive to medial wire placement, particularly when the most medial of multiple lateral-entry wires is advanced steeply across the medial column.</w:t>
      </w:r>
    </w:p>
    <w:p>
      <w:pPr>
        <w:spacing w:before="0" w:after="0" w:line="480" w:lineRule="auto"/>
      </w:pPr>
      <w:r>
        <w:rPr>
          <w:rFonts w:ascii="Times New Roman" w:hAnsi="Times New Roman" w:cs="Times New Roman"/>
          <w:color w:val="000000"/>
          <w:sz w:val="24"/>
        </w:rPr>
        <w:t>Two findings from our case have practical relevance for the operating surgeon. First, repeated postoperative neurovascular examination — including a documented examination performed in the recovery room before the patient is discharged from the post-anesthesia care unit — is essential. The deficit in our patient was not present at the conclusion of surgery on the in-room exam, suggesting that nerve compromise developed either during transfer or during the immediate postoperative period as edema increased around the fracture site. Second, high-resolution ultrasound was the single most informative imaging modality for localizing the lesion preoperatively</w:t>
      </w:r>
      <w:hyperlink w:anchor="REF_7" w:history="1">
        <w:r>
          <w:rPr>
            <w:rFonts w:ascii="Times New Roman" w:hAnsi="Times New Roman" w:cs="Times New Roman"/>
            <w:color w:val="0563C1"/>
            <w:sz w:val="24"/>
            <w:u w:val="single"/>
            <w:vertAlign w:val="superscript"/>
          </w:rPr>
          <w:t xml:space="preserve">7</w:t>
        </w:r>
      </w:hyperlink>
      <w:r>
        <w:rPr>
          <w:rFonts w:ascii="Times New Roman" w:hAnsi="Times New Roman" w:cs="Times New Roman"/>
          <w:color w:val="000000"/>
          <w:sz w:val="24"/>
        </w:rPr>
        <w:t>. Magnetic resonance imaging would have required general anesthesia in this age group and would have delayed revision surgery; ultrasound was performed at the bedside within 90 minutes of identifying the deficit.</w:t>
      </w:r>
    </w:p>
    <w:p>
      <w:pPr>
        <w:spacing w:before="0" w:after="0" w:line="480" w:lineRule="auto"/>
      </w:pPr>
      <w:r>
        <w:rPr>
          <w:rFonts w:ascii="Times New Roman" w:hAnsi="Times New Roman" w:cs="Times New Roman"/>
          <w:b w:val="0"/>
          <w:i w:val="0"/>
          <w:color w:val="000000"/>
          <w:sz w:val="24"/>
        </w:rPr>
        <w:t>The principal limitation of any case report is the absence of a comparison population. We cannot infer the rate at which similar wire trajectories produce nerve injury, nor can we conclude that earlier ultrasound shortened the time to recovery. Reporting this case nevertheless adds to the small literature describing isolated lateral-wire-mediated median nerve injury and offers a practical example of bedside ultrasound localization in pediatric iatrogenic nerve compromise.</w:t>
      </w:r>
    </w:p>
    <w:p>
      <w:pPr>
        <w:spacing w:before="0" w:after="0" w:line="480" w:lineRule="auto"/>
      </w:pPr>
    </w:p>
    <w:p>
      <w:pPr>
        <w:spacing w:before="0" w:after="0" w:line="480" w:lineRule="auto"/>
        <w:jc w:val="left"/>
      </w:pPr>
      <w:r>
        <w:rPr>
          <w:rFonts w:ascii="Times New Roman" w:hAnsi="Times New Roman" w:cs="Times New Roman"/>
          <w:b/>
          <w:i w:val="0"/>
          <w:color w:val="000000"/>
          <w:sz w:val="24"/>
        </w:rPr>
        <w:t>Conclusion</w:t>
      </w:r>
    </w:p>
    <w:p>
      <w:pPr>
        <w:spacing w:before="0" w:after="0" w:line="480" w:lineRule="auto"/>
      </w:pPr>
      <w:r>
        <w:rPr>
          <w:rFonts w:ascii="Times New Roman" w:hAnsi="Times New Roman" w:cs="Times New Roman"/>
          <w:b w:val="0"/>
          <w:i w:val="0"/>
          <w:color w:val="000000"/>
          <w:sz w:val="24"/>
        </w:rPr>
        <w:t>Iatrogenic median nerve injury after closed reduction and percutaneous pinning of pediatric supracondylar humerus fractures is uncommon, can occur with lateral-entry as well as medial-entry K-wires, and is recoverable when recognized early. Repeated postoperative neurovascular examination — including a documented exam in the post-anesthesia care unit — should be standard, and high-resolution ultrasound is a useful first-line imaging modality when wire-related nerve injury is suspected.</w:t>
      </w:r>
    </w:p>
    <w:p>
      <w:pPr>
        <w:pageBreakBefore/>
        <w:spacing w:before="0" w:after="0" w:line="480" w:lineRule="auto"/>
        <w:jc w:val="center"/>
      </w:pPr>
      <w:r>
        <w:rPr>
          <w:rFonts w:ascii="Times New Roman" w:hAnsi="Times New Roman" w:cs="Times New Roman"/>
          <w:b/>
          <w:i w:val="0"/>
          <w:color w:val="000000"/>
          <w:sz w:val="24"/>
        </w:rPr>
        <w:t>References</w:t>
      </w:r>
    </w:p>
    <w:p>
      <w:pPr>
        <w:spacing w:before="0" w:after="0" w:line="480" w:lineRule="auto"/>
        <w:ind w:left="720" w:hanging="720"/>
      </w:pPr>
      <w:bookmarkStart w:id="0" w:name="REF_1"/>
      <w:bookmarkEnd w:id="0"/>
      <w:r>
        <w:rPr>
          <w:rFonts w:ascii="Times New Roman" w:hAnsi="Times New Roman" w:cs="Times New Roman"/>
          <w:b w:val="0"/>
          <w:i w:val="0"/>
          <w:color w:val="000000"/>
          <w:sz w:val="24"/>
        </w:rPr>
        <w:t>1.  Skaggs DL, Cluck MW, Mostofi A, Flynn JM, Kay RM. Lateral-entry pin fixation in the management of supracondylar fractures in children. J Bone Joint Surg Am. 2004;86(4):702–707. https://doi.org/10.2106/00004623-200404000-00006</w:t>
      </w:r>
    </w:p>
    <w:p>
      <w:pPr>
        <w:spacing w:before="0" w:after="0" w:line="480" w:lineRule="auto"/>
        <w:ind w:left="720" w:hanging="720"/>
      </w:pPr>
      <w:bookmarkStart w:id="1" w:name="REF_2"/>
      <w:bookmarkEnd w:id="1"/>
      <w:r>
        <w:rPr>
          <w:rFonts w:ascii="Times New Roman" w:hAnsi="Times New Roman" w:cs="Times New Roman"/>
          <w:b w:val="0"/>
          <w:i w:val="0"/>
          <w:color w:val="000000"/>
          <w:sz w:val="24"/>
        </w:rPr>
        <w:t>2.  Bahk MS, Srikumaran U, Ain MC, et al. Patterns of pediatric supracondylar humerus fractures. J Pediatr Orthop. 2008;28(5):493–499. https://doi.org/10.1097/BPO.0b013e31817bb860</w:t>
      </w:r>
    </w:p>
    <w:p>
      <w:pPr>
        <w:spacing w:before="0" w:after="0" w:line="480" w:lineRule="auto"/>
        <w:ind w:left="720" w:hanging="720"/>
      </w:pPr>
      <w:bookmarkStart w:id="2" w:name="REF_3"/>
      <w:bookmarkEnd w:id="2"/>
      <w:r>
        <w:rPr>
          <w:rFonts w:ascii="Times New Roman" w:hAnsi="Times New Roman" w:cs="Times New Roman"/>
          <w:b w:val="0"/>
          <w:i w:val="0"/>
          <w:color w:val="000000"/>
          <w:sz w:val="24"/>
        </w:rPr>
        <w:t>3.  Babal JC, Mehlman CT, Klein G. Nerve injuries associated with pediatric supracondylar humeral fractures: a meta-analysis. J Pediatr Orthop. 2010;30(3):253–263. https://doi.org/10.1097/BPO.0b013e3181d213a6</w:t>
      </w:r>
    </w:p>
    <w:p>
      <w:pPr>
        <w:spacing w:before="0" w:after="0" w:line="480" w:lineRule="auto"/>
        <w:ind w:left="720" w:hanging="720"/>
      </w:pPr>
      <w:bookmarkStart w:id="3" w:name="REF_4"/>
      <w:bookmarkEnd w:id="3"/>
      <w:r>
        <w:rPr>
          <w:rFonts w:ascii="Times New Roman" w:hAnsi="Times New Roman" w:cs="Times New Roman"/>
          <w:b w:val="0"/>
          <w:i w:val="0"/>
          <w:color w:val="000000"/>
          <w:sz w:val="24"/>
        </w:rPr>
        <w:t>4.  Lyons ST, Quinn M, Stanitski CL. Neurovascular injuries in type III humeral supracondylar fractures in children. Clin Orthop Relat Res. 2000;376:62–67. https://doi.org/10.1097/00003086-200007000-00010</w:t>
      </w:r>
    </w:p>
    <w:p>
      <w:pPr>
        <w:spacing w:before="0" w:after="0" w:line="480" w:lineRule="auto"/>
        <w:ind w:left="720" w:hanging="720"/>
      </w:pPr>
      <w:bookmarkStart w:id="4" w:name="REF_5"/>
      <w:bookmarkEnd w:id="4"/>
      <w:r>
        <w:rPr>
          <w:rFonts w:ascii="Times New Roman" w:hAnsi="Times New Roman" w:cs="Times New Roman"/>
          <w:b w:val="0"/>
          <w:i w:val="0"/>
          <w:color w:val="000000"/>
          <w:sz w:val="24"/>
        </w:rPr>
        <w:t>5.  Mubarak SJ, Davids JR. Closed treatment of supracondylar fractures of the humerus in children. Tech Orthop. 1989;4(1):51–58.</w:t>
      </w:r>
    </w:p>
    <w:p>
      <w:pPr>
        <w:spacing w:before="0" w:after="0" w:line="480" w:lineRule="auto"/>
        <w:ind w:left="720" w:hanging="720"/>
      </w:pPr>
      <w:bookmarkStart w:id="5" w:name="REF_6"/>
      <w:bookmarkEnd w:id="5"/>
      <w:r>
        <w:rPr>
          <w:rFonts w:ascii="Times New Roman" w:hAnsi="Times New Roman" w:cs="Times New Roman"/>
          <w:b w:val="0"/>
          <w:i w:val="0"/>
          <w:color w:val="000000"/>
          <w:sz w:val="24"/>
        </w:rPr>
        <w:t>6.  Brown IC, Zinar DM. Traumatic and iatrogenic neurological complications after supracondylar humerus fractures in children. J Pediatr Orthop. 1995;15(4):440–443. https://doi.org/10.1097/01241398-199507000-00005</w:t>
      </w:r>
    </w:p>
    <w:p>
      <w:pPr>
        <w:spacing w:before="0" w:after="0" w:line="480" w:lineRule="auto"/>
        <w:ind w:left="720" w:hanging="720"/>
      </w:pPr>
      <w:bookmarkStart w:id="6" w:name="REF_7"/>
      <w:bookmarkEnd w:id="6"/>
      <w:r>
        <w:rPr>
          <w:rFonts w:ascii="Times New Roman" w:hAnsi="Times New Roman" w:cs="Times New Roman"/>
          <w:b w:val="0"/>
          <w:i w:val="0"/>
          <w:color w:val="000000"/>
          <w:sz w:val="24"/>
        </w:rPr>
        <w:t>7.  Bargagliotti M, Pomero V, Maes-Clavier C, et al. The role of ultrasound in pediatric peripheral nerve injuries. J Ultrasound Med. 2018;37(11):2557–2569. https://doi.org/10.1002/jum.14609</w:t>
      </w:r>
    </w:p>
    <w:p>
      <w:pPr>
        <w:pageBreakBefore/>
        <w:spacing w:before="0" w:after="0" w:line="480" w:lineRule="auto"/>
        <w:jc w:val="center"/>
      </w:pPr>
      <w:r>
        <w:rPr>
          <w:rFonts w:ascii="Times New Roman" w:hAnsi="Times New Roman" w:cs="Times New Roman"/>
          <w:b/>
          <w:i w:val="0"/>
          <w:color w:val="000000"/>
          <w:sz w:val="24"/>
        </w:rPr>
        <w:t>Figure legends</w:t>
      </w:r>
    </w:p>
    <w:p>
      <w:pPr>
        <w:spacing w:before="0" w:after="0" w:line="480" w:lineRule="auto"/>
      </w:pPr>
      <w:r>
        <w:rPr>
          <w:rFonts w:ascii="Times New Roman" w:hAnsi="Times New Roman" w:cs="Times New Roman"/>
          <w:b w:val="0"/>
          <w:i w:val="0"/>
          <w:color w:val="000000"/>
          <w:sz w:val="24"/>
        </w:rPr>
        <w:t>Figure 1.  Pre-operative anteroposterior (A) and lateral (B) radiographs of the right elbow demonstrating a Gartland type III extension-type supracondylar humerus fracture with complete posteromedial displacement of the distal fragment.</w:t>
      </w:r>
    </w:p>
    <w:p>
      <w:pPr>
        <w:spacing w:before="0" w:after="0" w:line="480" w:lineRule="auto"/>
      </w:pPr>
      <w:r>
        <w:rPr>
          <w:rFonts w:ascii="Times New Roman" w:hAnsi="Times New Roman" w:cs="Times New Roman"/>
          <w:b w:val="0"/>
          <w:i w:val="0"/>
          <w:color w:val="000000"/>
          <w:sz w:val="24"/>
        </w:rPr>
        <w:t>Figure 2.  Intraoperative fluoroscopic image after revision pinning showing two crossed lateral-entry K-wires in stable configuration.</w:t>
      </w:r>
    </w:p>
    <w:sectPr w:rsidR="00FC693F" w:rsidRPr="0006063C" w:rsidSect="00034616">
      <w:headerReference w:type="default" r:id="rId9"/>
      <w:pgSz w:w="12240" w:h="15840"/>
      <w:pgMar w:top="1440" w:right="1440" w:bottom="1440" w:left="1440" w:header="720" w:footer="720" w:gutter="0"/>
      <w:cols w:space="720"/>
      <w:docGrid w:linePitch="360"/>
      <w:lnNumType w:countBy="1" w:start="1" w:restart="continuous" w:distan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line="240" w:lineRule="auto"/>
      <w:jc w:val="right"/>
    </w:pPr>
    <w:r>
      <w:rPr>
        <w:rFonts w:ascii="Times New Roman" w:hAnsi="Times New Roman" w:cs="Times New Roman"/>
        <w:i/>
        <w:color w:val="000000"/>
        <w:sz w:val="24"/>
      </w:rPr>
      <w:t>Iatrogenic median nerve injury — supracondylar pinning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s="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